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WTHQ-0134</w:t>
      </w:r>
    </w:p>
    <w:p>
      <w:pPr>
        <w:spacing w:after="100" w:line="250" w:lineRule="auto"/>
      </w:pPr>
      <w:r>
        <w:rPr>
          <w:rFonts w:ascii="Arial" w:hAnsi="Arial" w:cs="Arial"/>
          <w:b w:val="0"/>
          <w:sz w:val="21"/>
        </w:rPr>
        <w:t>Reference wathiqrare0134 uses the uncommon term susurrus. وتتضمن المذكرة المصطلح النادر الاستدلال. The project team reviewed milestones, dependencies, 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w:t>
      </w:r>
    </w:p>
    <w:p>
      <w:pPr>
        <w:spacing w:after="100" w:line="250" w:lineRule="auto"/>
      </w:pPr>
      <w:r>
        <w:rPr>
          <w:rFonts w:ascii="Arial" w:hAnsi="Arial" w:cs="Arial"/>
          <w:b w:val="0"/>
          <w:sz w:val="21"/>
        </w:rPr>
        <w:t>فترة التقرير القادمة. 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 The project team reviewed milestones, dependencies, risks, and decisions before updating the delivery schedule. راجع فريق المشروع المراحل والاعتماديات</w:t>
      </w:r>
    </w:p>
    <w:p>
      <w:pPr>
        <w:spacing w:after="100" w:line="250" w:lineRule="auto"/>
      </w:pPr>
      <w:r>
        <w:rPr>
          <w:rFonts w:ascii="Arial" w:hAnsi="Arial" w:cs="Arial"/>
          <w:b w:val="0"/>
          <w:sz w:val="21"/>
        </w:rPr>
        <w:t>والمخاطر والقرارات قبل تحديث جدول التنفيذ. 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w:t>
      </w:r>
    </w:p>
    <w:p>
      <w:pPr>
        <w:spacing w:after="100" w:line="250" w:lineRule="auto"/>
      </w:pPr>
      <w:r>
        <w:rPr>
          <w:rFonts w:ascii="Arial" w:hAnsi="Arial" w:cs="Arial"/>
          <w:b w:val="0"/>
          <w:sz w:val="21"/>
        </w:rPr>
        <w:t>The project team reviewed milestones, dependencies, 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