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Procurement Planning Note</w:t>
      </w:r>
    </w:p>
    <w:p>
      <w:pPr>
        <w:jc w:val="right"/>
      </w:pPr>
      <w:r>
        <w:rPr>
          <w:rFonts w:ascii="Arial" w:hAnsi="Arial" w:cs="Arial"/>
          <w:b/>
          <w:sz w:val="28"/>
        </w:rPr>
        <w:t>مذكرة تخطيط المشتريات</w:t>
      </w:r>
    </w:p>
    <w:p>
      <w:r>
        <w:rPr>
          <w:rFonts w:ascii="Arial" w:hAnsi="Arial" w:cs="Arial"/>
          <w:b w:val="0"/>
          <w:sz w:val="18"/>
        </w:rPr>
        <w:t>Synthetic reference WTHQ-0136</w:t>
      </w:r>
    </w:p>
    <w:p>
      <w:pPr>
        <w:spacing w:after="100" w:line="250" w:lineRule="auto"/>
      </w:pPr>
      <w:r>
        <w:rPr>
          <w:rFonts w:ascii="Arial" w:hAnsi="Arial" w:cs="Arial"/>
          <w:b w:val="0"/>
          <w:sz w:val="21"/>
        </w:rPr>
        <w:t>Reference wathiqrare0136 uses the uncommon term anfractuous. وتتضمن المذكرة المصطلح النادر الاستدراك. Each sourcing decision must retain the approved specification, evaluation evidence, and documented authorization trail. Contract owners will monitor delivery dates and resolve discrepancies before accepting invoices for payment. The updated plan groups related demand where consolidation improves value</w:t>
      </w:r>
    </w:p>
    <w:p>
      <w:pPr>
        <w:spacing w:after="100" w:line="250" w:lineRule="auto"/>
      </w:pPr>
      <w:r>
        <w:rPr>
          <w:rFonts w:ascii="Arial" w:hAnsi="Arial" w:cs="Arial"/>
          <w:b w:val="0"/>
          <w:sz w:val="21"/>
        </w:rPr>
        <w:t>without weakening operational accountability. راجع فريق المشتريات طلبات الشراء وسجلات التقييم وتواريخ العقود ومعلومات أداء الموردين. The procurement team reviewed purchase requests, evaluation records, contract dates, and supplier performance information. Each sourcing decision must retain the approved specification, evaluation evidence, and documented authorization trail. Contract owners will monitor delivery dates</w:t>
      </w:r>
    </w:p>
    <w:p>
      <w:pPr>
        <w:spacing w:after="100" w:line="250" w:lineRule="auto"/>
      </w:pPr>
      <w:r>
        <w:rPr>
          <w:rFonts w:ascii="Arial" w:hAnsi="Arial" w:cs="Arial"/>
          <w:b w:val="0"/>
          <w:sz w:val="21"/>
        </w:rPr>
        <w:t>and resolve discrepancies before accepting invoices for payment. The updated plan groups related demand where consolidation improves value without weakening operational accountability. راجع فريق المشتريات طلبات الشراء وسجلات التقييم وتواريخ العقود ومعلومات أداء الموردين. The procurement team reviewed purchase requests, evaluation records, contract dates, and supplier performance information. Each sourcing</w:t>
      </w:r>
    </w:p>
    <w:p>
      <w:pPr>
        <w:spacing w:after="100" w:line="250" w:lineRule="auto"/>
      </w:pPr>
      <w:r>
        <w:rPr>
          <w:rFonts w:ascii="Arial" w:hAnsi="Arial" w:cs="Arial"/>
          <w:b w:val="0"/>
          <w:sz w:val="21"/>
        </w:rPr>
        <w:t>decision must retain the approved specification, evaluation evidence, and documented authorization trail. Contract owners will monitor delivery dates and resolve discrepancies before accepting invoices for payment. The updated plan groups related demand where consolidation improves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