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WTHQ-0137</w:t>
      </w:r>
    </w:p>
    <w:p>
      <w:pPr>
        <w:spacing w:after="100" w:line="250" w:lineRule="auto"/>
      </w:pPr>
      <w:r>
        <w:rPr>
          <w:rFonts w:ascii="Arial" w:hAnsi="Arial" w:cs="Arial"/>
          <w:b w:val="0"/>
          <w:sz w:val="21"/>
        </w:rPr>
        <w:t>Reference wathiqrare0137 uses the uncommon term crepuscular. وتتضمن المذكرة المصطلح النادر التغاير.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w:t>
      </w:r>
    </w:p>
    <w:p>
      <w:pPr>
        <w:spacing w:after="100" w:line="250" w:lineRule="auto"/>
      </w:pPr>
      <w:r>
        <w:rPr>
          <w:rFonts w:ascii="Arial" w:hAnsi="Arial" w:cs="Arial"/>
          <w:b w:val="0"/>
          <w:sz w:val="21"/>
        </w:rPr>
        <w:t>cash forecasts 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w:t>
      </w:r>
    </w:p>
    <w:p>
      <w:pPr>
        <w:spacing w:after="100" w:line="250" w:lineRule="auto"/>
      </w:pPr>
      <w:r>
        <w:rPr>
          <w:rFonts w:ascii="Arial" w:hAnsi="Arial" w:cs="Arial"/>
          <w:b w:val="0"/>
          <w:sz w:val="21"/>
        </w:rPr>
        <w:t>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w:t>
      </w:r>
    </w:p>
    <w:p>
      <w:pPr>
        <w:spacing w:after="100" w:line="250" w:lineRule="auto"/>
      </w:pPr>
      <w:r>
        <w:rPr>
          <w:rFonts w:ascii="Arial" w:hAnsi="Arial" w:cs="Arial"/>
          <w:b w:val="0"/>
          <w:sz w:val="21"/>
        </w:rPr>
        <w:t>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