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WTHQ-0138</w:t>
      </w:r>
    </w:p>
    <w:p>
      <w:pPr>
        <w:spacing w:after="100" w:line="250" w:lineRule="auto"/>
      </w:pPr>
      <w:r>
        <w:rPr>
          <w:rFonts w:ascii="Arial" w:hAnsi="Arial" w:cs="Arial"/>
          <w:b w:val="0"/>
          <w:sz w:val="21"/>
        </w:rPr>
        <w:t>Reference wathiqrare0138 uses the uncommon term psithurism. وتتضمن المذكرة المصطلح النادر التماثل.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w:t>
      </w:r>
    </w:p>
    <w:p>
      <w:pPr>
        <w:spacing w:after="100" w:line="250" w:lineRule="auto"/>
      </w:pPr>
      <w:r>
        <w:rPr>
          <w:rFonts w:ascii="Arial" w:hAnsi="Arial" w:cs="Arial"/>
          <w:b w:val="0"/>
          <w:sz w:val="21"/>
        </w:rPr>
        <w:t>that interview records follow the approved retention 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القوى العاملة بين الشواغر الأساسية والتزامات التدريب وتحدد</w:t>
      </w:r>
    </w:p>
    <w:p>
      <w:pPr>
        <w:spacing w:after="100" w:line="250" w:lineRule="auto"/>
      </w:pPr>
      <w:r>
        <w:rPr>
          <w:rFonts w:ascii="Arial" w:hAnsi="Arial" w:cs="Arial"/>
          <w:b w:val="0"/>
          <w:sz w:val="21"/>
        </w:rPr>
        <w:t>مسؤولية واضحة لكل إجراء معلق.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 that interview records follow the approved retention</w:t>
      </w:r>
    </w:p>
    <w:p>
      <w:pPr>
        <w:spacing w:after="100" w:line="250" w:lineRule="auto"/>
      </w:pPr>
      <w:r>
        <w:rPr>
          <w:rFonts w:ascii="Arial" w:hAnsi="Arial" w:cs="Arial"/>
          <w:b w:val="0"/>
          <w:sz w:val="21"/>
        </w:rPr>
        <w:t>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