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WTHQ-0142</w:t>
      </w:r>
    </w:p>
    <w:p>
      <w:pPr>
        <w:spacing w:after="100" w:line="250" w:lineRule="auto"/>
      </w:pPr>
      <w:r>
        <w:rPr>
          <w:rFonts w:ascii="Arial" w:hAnsi="Arial" w:cs="Arial"/>
          <w:b w:val="0"/>
          <w:sz w:val="21"/>
        </w:rPr>
        <w:t>Reference wathiqrare0142 uses the uncommon term zeugma. وتتضمن المذكرة المصطلح النادر التبويب. The current plan protects critical testing time while allowing lower priority activities to move within agreed tolerances. Sponsors will receive a concise status report showing progress, unresolved decisions, and accountable action owners. راجع فريق المشروع المراحل والاعتماديات والمخاطر</w:t>
      </w:r>
    </w:p>
    <w:p>
      <w:pPr>
        <w:spacing w:after="100" w:line="250" w:lineRule="auto"/>
      </w:pPr>
      <w:r>
        <w:rPr>
          <w:rFonts w:ascii="Arial" w:hAnsi="Arial" w:cs="Arial"/>
          <w:b w:val="0"/>
          <w:sz w:val="21"/>
        </w:rPr>
        <w:t>والقرارات قبل تحديث جدول التنفيذ. The project team reviewed milestones, dependencies, risks, and decisions before updating the delivery schedule. Workstream leads confirmed completed tasks with evidence and identified constraints that could affect the next reporting period. The current plan protects critical testing time while allowing lower priority activities to move</w:t>
      </w:r>
    </w:p>
    <w:p>
      <w:pPr>
        <w:spacing w:after="100" w:line="250" w:lineRule="auto"/>
      </w:pPr>
      <w:r>
        <w:rPr>
          <w:rFonts w:ascii="Arial" w:hAnsi="Arial" w:cs="Arial"/>
          <w:b w:val="0"/>
          <w:sz w:val="21"/>
        </w:rPr>
        <w:t>within agreed tolerances. Sponsors will receive a concise status report showing progress, unresolved decisions, and accountable action owners. راجع فريق المشروع المراحل والاعتماديات والمخاطر والقرارات قبل تحديث جدول التنفيذ. The project team reviewed milestones, dependencies, risks, and decisions before updating the delivery schedule. Workstream leads confirmed completed tasks with evidence</w:t>
      </w:r>
    </w:p>
    <w:p>
      <w:pPr>
        <w:spacing w:after="100" w:line="250" w:lineRule="auto"/>
      </w:pPr>
      <w:r>
        <w:rPr>
          <w:rFonts w:ascii="Arial" w:hAnsi="Arial" w:cs="Arial"/>
          <w:b w:val="0"/>
          <w:sz w:val="21"/>
        </w:rPr>
        <w:t>and identified constraints that could affect the next reporting period. The current plan protects critical testing time while allowing lower priority activities to move within agreed tolerances. Sponsors will receive a concise status report showing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