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AE062" w14:textId="77777777" w:rsidR="007F11FD" w:rsidRDefault="00000000">
      <w:pPr>
        <w:spacing w:after="20"/>
      </w:pPr>
      <w:proofErr w:type="spellStart"/>
      <w:r>
        <w:rPr>
          <w:b/>
          <w:bCs/>
          <w:color w:val="1F3864"/>
          <w:sz w:val="40"/>
          <w:szCs w:val="40"/>
        </w:rPr>
        <w:t>CrashMetrics</w:t>
      </w:r>
      <w:proofErr w:type="spellEnd"/>
    </w:p>
    <w:p w14:paraId="063F1102" w14:textId="2CC5DB2C" w:rsidR="007F11FD" w:rsidRDefault="00000000">
      <w:pPr>
        <w:pBdr>
          <w:bottom w:val="single" w:sz="6" w:space="6" w:color="1F3864"/>
        </w:pBdr>
        <w:spacing w:after="200"/>
      </w:pPr>
      <w:r>
        <w:rPr>
          <w:i/>
          <w:iCs/>
          <w:color w:val="595959"/>
        </w:rPr>
        <w:t>UK Road Safety Intelligence Dashboard</w:t>
      </w:r>
      <w:r w:rsidR="00051281">
        <w:rPr>
          <w:i/>
          <w:iCs/>
          <w:color w:val="595959"/>
        </w:rPr>
        <w:t xml:space="preserve"> – Power BI </w:t>
      </w:r>
      <w:r>
        <w:rPr>
          <w:i/>
          <w:iCs/>
          <w:color w:val="595959"/>
        </w:rPr>
        <w:t>Project Report</w:t>
      </w:r>
    </w:p>
    <w:p w14:paraId="3C7C2184" w14:textId="77777777" w:rsidR="007F11FD" w:rsidRDefault="00000000">
      <w:pPr>
        <w:pStyle w:val="Heading1"/>
      </w:pPr>
      <w:r>
        <w:t>Overview</w:t>
      </w:r>
    </w:p>
    <w:p w14:paraId="011E89BE" w14:textId="676F6339" w:rsidR="007F11FD" w:rsidRDefault="00000000">
      <w:pPr>
        <w:spacing w:after="160"/>
      </w:pPr>
      <w:r>
        <w:rPr>
          <w:sz w:val="21"/>
          <w:szCs w:val="21"/>
        </w:rPr>
        <w:t xml:space="preserve">This dashboard analyses </w:t>
      </w:r>
      <w:proofErr w:type="gramStart"/>
      <w:r>
        <w:rPr>
          <w:sz w:val="21"/>
          <w:szCs w:val="21"/>
        </w:rPr>
        <w:t>United Kingdom road</w:t>
      </w:r>
      <w:proofErr w:type="gramEnd"/>
      <w:r>
        <w:rPr>
          <w:sz w:val="21"/>
          <w:szCs w:val="21"/>
        </w:rPr>
        <w:t xml:space="preserve"> traffic accident data spanning 2005</w:t>
      </w:r>
      <w:r w:rsidR="00051281">
        <w:rPr>
          <w:sz w:val="21"/>
          <w:szCs w:val="21"/>
        </w:rPr>
        <w:t xml:space="preserve"> to </w:t>
      </w:r>
      <w:r>
        <w:rPr>
          <w:sz w:val="21"/>
          <w:szCs w:val="21"/>
        </w:rPr>
        <w:t xml:space="preserve">2010, covering a total of 1 million accidents and </w:t>
      </w:r>
      <w:r w:rsidR="00051281">
        <w:rPr>
          <w:sz w:val="21"/>
          <w:szCs w:val="21"/>
        </w:rPr>
        <w:t>equivalent</w:t>
      </w:r>
      <w:r>
        <w:rPr>
          <w:sz w:val="21"/>
          <w:szCs w:val="21"/>
        </w:rPr>
        <w:t xml:space="preserve"> casualties. The analysis breaks down incidents by location, road type, lighting conditions, and time trends to identify key risk patterns.</w:t>
      </w:r>
    </w:p>
    <w:p w14:paraId="0B96E7C3" w14:textId="77777777" w:rsidR="007F11FD" w:rsidRDefault="00000000">
      <w:pPr>
        <w:pStyle w:val="Heading1"/>
      </w:pPr>
      <w:r>
        <w:t>Key Findings</w:t>
      </w:r>
    </w:p>
    <w:p w14:paraId="3745DDFC" w14:textId="77777777" w:rsidR="007F11FD" w:rsidRDefault="00000000">
      <w:pPr>
        <w:pStyle w:val="Heading2"/>
      </w:pPr>
      <w:r>
        <w:t>1. Accident Trend (Monthly)</w:t>
      </w:r>
    </w:p>
    <w:p w14:paraId="0E61F018" w14:textId="77777777" w:rsidR="007F11FD" w:rsidRDefault="00000000">
      <w:pPr>
        <w:spacing w:after="160"/>
      </w:pPr>
      <w:r>
        <w:rPr>
          <w:sz w:val="21"/>
          <w:szCs w:val="21"/>
        </w:rPr>
        <w:t>Accidents show a clear seasonal pattern, dipping to a low in February (105,238) and climbing steadily to peak in November (130,347), before a sharp decline into December. This suggests accident frequency rises through the second half of the year, possibly linked to weather, daylight hours rush, and holiday-season traffic.</w:t>
      </w:r>
    </w:p>
    <w:p w14:paraId="5E4474ED" w14:textId="77777777" w:rsidR="007F11FD" w:rsidRDefault="00000000">
      <w:pPr>
        <w:pStyle w:val="Heading2"/>
      </w:pPr>
      <w:r>
        <w:t>2. Accident Prevalence by Area</w:t>
      </w:r>
    </w:p>
    <w:p w14:paraId="03468862" w14:textId="77777777" w:rsidR="007F11FD" w:rsidRDefault="00000000">
      <w:pPr>
        <w:spacing w:after="160"/>
      </w:pPr>
      <w:r>
        <w:rPr>
          <w:sz w:val="21"/>
          <w:szCs w:val="21"/>
        </w:rPr>
        <w:t>Urban areas dominate accident occurrence, accounting for the highest share (667,882), nearly double that of Rural areas (380,550). Unallocated areas account for a negligible share. This confirms Urban as the prevalent accident area, as reflected in the KPI card.</w:t>
      </w:r>
    </w:p>
    <w:p w14:paraId="43EADABD" w14:textId="77777777" w:rsidR="007F11FD" w:rsidRDefault="00000000">
      <w:pPr>
        <w:pStyle w:val="Heading2"/>
      </w:pPr>
      <w:r>
        <w:t>3. Road Type Risk</w:t>
      </w:r>
    </w:p>
    <w:p w14:paraId="23D654EA" w14:textId="77777777" w:rsidR="007F11FD" w:rsidRDefault="00000000">
      <w:pPr>
        <w:spacing w:after="160"/>
      </w:pPr>
      <w:r>
        <w:rPr>
          <w:sz w:val="21"/>
          <w:szCs w:val="21"/>
        </w:rPr>
        <w:t>Single carriageways are by far the most accident-prone road type, vastly outpacing dual carriageways, roundabouts, one-way streets, and slip roads combined. This indicates single carriageways as the highest-priority road type for safety intervention and awareness about speed limits for the safety of road users.</w:t>
      </w:r>
    </w:p>
    <w:p w14:paraId="70844DBA" w14:textId="77777777" w:rsidR="007F11FD" w:rsidRDefault="00000000">
      <w:pPr>
        <w:pStyle w:val="Heading2"/>
      </w:pPr>
      <w:r>
        <w:t>4. Lighting Conditions</w:t>
      </w:r>
    </w:p>
    <w:p w14:paraId="1EA6C5AB" w14:textId="77777777" w:rsidR="007F11FD" w:rsidRDefault="00000000">
      <w:pPr>
        <w:spacing w:after="160"/>
      </w:pPr>
      <w:r>
        <w:rPr>
          <w:sz w:val="21"/>
          <w:szCs w:val="21"/>
        </w:rPr>
        <w:t>73.06% of accidents occur in daylight, which, while seemingly counterintuitive, reflects higher traffic volume during the day rather than daylight being inherently riskier. 19.83% occur in darkness with lights lit, while darkness with no lighting, lit-but-unlit, and partial lighting collectively account for the remaining smaller shares.</w:t>
      </w:r>
    </w:p>
    <w:p w14:paraId="7EF9F693" w14:textId="77777777" w:rsidR="007F11FD" w:rsidRDefault="00000000">
      <w:pPr>
        <w:pStyle w:val="Heading2"/>
      </w:pPr>
      <w:r>
        <w:t>5. Year-on-Year Trend</w:t>
      </w:r>
    </w:p>
    <w:p w14:paraId="56757437" w14:textId="091FE58F" w:rsidR="007F11FD" w:rsidRDefault="00000000">
      <w:pPr>
        <w:spacing w:after="160"/>
      </w:pPr>
      <w:r>
        <w:rPr>
          <w:sz w:val="21"/>
          <w:szCs w:val="21"/>
        </w:rPr>
        <w:t>Accident counts show a consistent downward trend from 198,735 in 2005 to 144,419 in 2010</w:t>
      </w:r>
      <w:r w:rsidR="00051281">
        <w:rPr>
          <w:sz w:val="21"/>
          <w:szCs w:val="21"/>
        </w:rPr>
        <w:t xml:space="preserve">. A </w:t>
      </w:r>
      <w:r>
        <w:rPr>
          <w:sz w:val="21"/>
          <w:szCs w:val="21"/>
        </w:rPr>
        <w:t>decline of roughly 27% over six years, suggesting improving road safety measures, enforcement, or infrastructure over the period, and compliance with safety rules and regulations by users.</w:t>
      </w:r>
    </w:p>
    <w:p w14:paraId="72F843E9" w14:textId="77777777" w:rsidR="007F11FD" w:rsidRDefault="00000000">
      <w:pPr>
        <w:pStyle w:val="Heading1"/>
      </w:pPr>
      <w:r>
        <w:t>Key Insight</w:t>
      </w:r>
    </w:p>
    <w:p w14:paraId="39522AFF" w14:textId="77777777" w:rsidR="007F11FD" w:rsidRDefault="00000000">
      <w:pPr>
        <w:spacing w:after="160"/>
      </w:pPr>
      <w:r>
        <w:rPr>
          <w:sz w:val="21"/>
          <w:szCs w:val="21"/>
        </w:rPr>
        <w:t>The data points to two clear intervention priorities: urban single-carriageway roads, where the bulk of accidents concentrate, and daylight hours, where exposure (not risk per mile) drives the volume. Despite this, the declining year-on-year trend is a positive signal, indicating that whatever safety interventions were in place during this period were having a measurable impact and should be encouraged for continuity.</w:t>
      </w:r>
    </w:p>
    <w:p w14:paraId="1787FCA7" w14:textId="77777777" w:rsidR="00051281" w:rsidRDefault="00051281">
      <w:pPr>
        <w:pStyle w:val="Heading1"/>
      </w:pPr>
    </w:p>
    <w:p w14:paraId="20483B1A" w14:textId="27B64BD5" w:rsidR="007F11FD" w:rsidRDefault="00000000">
      <w:pPr>
        <w:pStyle w:val="Heading1"/>
      </w:pPr>
      <w:r>
        <w:lastRenderedPageBreak/>
        <w:t>Recommendation</w:t>
      </w:r>
    </w:p>
    <w:p w14:paraId="0E100C58" w14:textId="77777777" w:rsidR="007F11FD" w:rsidRDefault="00000000">
      <w:pPr>
        <w:spacing w:after="160"/>
      </w:pPr>
      <w:r>
        <w:rPr>
          <w:sz w:val="21"/>
          <w:szCs w:val="21"/>
        </w:rPr>
        <w:t>Future road safety campaigns and infrastructure investment should prioritize urban single-carriageway roads, where the concentration of risk is highest, while maintaining the downward momentum seen in the year-on-year accident trend.</w:t>
      </w:r>
    </w:p>
    <w:p w14:paraId="18B652C7" w14:textId="77777777" w:rsidR="007F11FD" w:rsidRDefault="007F11FD">
      <w:pPr>
        <w:pBdr>
          <w:top w:val="single" w:sz="4" w:space="8" w:color="CCCCCC"/>
        </w:pBdr>
        <w:spacing w:before="400"/>
      </w:pPr>
    </w:p>
    <w:p w14:paraId="259268B9" w14:textId="77777777" w:rsidR="007F11FD" w:rsidRDefault="00000000">
      <w:pPr>
        <w:spacing w:before="200" w:after="20"/>
      </w:pPr>
      <w:r>
        <w:rPr>
          <w:b/>
          <w:bCs/>
          <w:color w:val="1F3864"/>
          <w:sz w:val="21"/>
          <w:szCs w:val="21"/>
        </w:rPr>
        <w:t>IBIROGBA ABIODUN ISAAC</w:t>
      </w:r>
    </w:p>
    <w:p w14:paraId="7CC83F2B" w14:textId="77777777" w:rsidR="007F11FD" w:rsidRDefault="00000000">
      <w:r>
        <w:rPr>
          <w:color w:val="595959"/>
          <w:sz w:val="19"/>
          <w:szCs w:val="19"/>
        </w:rPr>
        <w:t>Data Analyst</w:t>
      </w:r>
    </w:p>
    <w:sectPr w:rsidR="007F11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692D2D"/>
    <w:multiLevelType w:val="hybridMultilevel"/>
    <w:tmpl w:val="84F87EEA"/>
    <w:lvl w:ilvl="0" w:tplc="33B40CF8">
      <w:start w:val="1"/>
      <w:numFmt w:val="bullet"/>
      <w:lvlText w:val="●"/>
      <w:lvlJc w:val="left"/>
      <w:pPr>
        <w:ind w:left="720" w:hanging="360"/>
      </w:pPr>
    </w:lvl>
    <w:lvl w:ilvl="1" w:tplc="E29890AC">
      <w:start w:val="1"/>
      <w:numFmt w:val="bullet"/>
      <w:lvlText w:val="○"/>
      <w:lvlJc w:val="left"/>
      <w:pPr>
        <w:ind w:left="1440" w:hanging="360"/>
      </w:pPr>
    </w:lvl>
    <w:lvl w:ilvl="2" w:tplc="7BD659D2">
      <w:start w:val="1"/>
      <w:numFmt w:val="bullet"/>
      <w:lvlText w:val="■"/>
      <w:lvlJc w:val="left"/>
      <w:pPr>
        <w:ind w:left="2160" w:hanging="360"/>
      </w:pPr>
    </w:lvl>
    <w:lvl w:ilvl="3" w:tplc="55368F92">
      <w:start w:val="1"/>
      <w:numFmt w:val="bullet"/>
      <w:lvlText w:val="●"/>
      <w:lvlJc w:val="left"/>
      <w:pPr>
        <w:ind w:left="2880" w:hanging="360"/>
      </w:pPr>
    </w:lvl>
    <w:lvl w:ilvl="4" w:tplc="7090C8A6">
      <w:start w:val="1"/>
      <w:numFmt w:val="bullet"/>
      <w:lvlText w:val="○"/>
      <w:lvlJc w:val="left"/>
      <w:pPr>
        <w:ind w:left="3600" w:hanging="360"/>
      </w:pPr>
    </w:lvl>
    <w:lvl w:ilvl="5" w:tplc="0F4AD716">
      <w:start w:val="1"/>
      <w:numFmt w:val="bullet"/>
      <w:lvlText w:val="■"/>
      <w:lvlJc w:val="left"/>
      <w:pPr>
        <w:ind w:left="4320" w:hanging="360"/>
      </w:pPr>
    </w:lvl>
    <w:lvl w:ilvl="6" w:tplc="18E2ED92">
      <w:start w:val="1"/>
      <w:numFmt w:val="bullet"/>
      <w:lvlText w:val="●"/>
      <w:lvlJc w:val="left"/>
      <w:pPr>
        <w:ind w:left="5040" w:hanging="360"/>
      </w:pPr>
    </w:lvl>
    <w:lvl w:ilvl="7" w:tplc="7A4C4932">
      <w:start w:val="1"/>
      <w:numFmt w:val="bullet"/>
      <w:lvlText w:val="●"/>
      <w:lvlJc w:val="left"/>
      <w:pPr>
        <w:ind w:left="5760" w:hanging="360"/>
      </w:pPr>
    </w:lvl>
    <w:lvl w:ilvl="8" w:tplc="850CAB88">
      <w:start w:val="1"/>
      <w:numFmt w:val="bullet"/>
      <w:lvlText w:val="●"/>
      <w:lvlJc w:val="left"/>
      <w:pPr>
        <w:ind w:left="6480" w:hanging="360"/>
      </w:pPr>
    </w:lvl>
  </w:abstractNum>
  <w:num w:numId="1" w16cid:durableId="164053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FD"/>
    <w:rsid w:val="00051281"/>
    <w:rsid w:val="007F11FD"/>
    <w:rsid w:val="0081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D9726"/>
  <w15:docId w15:val="{87D8E139-8309-48A1-998B-201E54BC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C00000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Abiodun Ibirogba</cp:lastModifiedBy>
  <cp:revision>3</cp:revision>
  <cp:lastPrinted>2026-06-30T15:02:00Z</cp:lastPrinted>
  <dcterms:created xsi:type="dcterms:W3CDTF">2026-06-30T14:58:00Z</dcterms:created>
  <dcterms:modified xsi:type="dcterms:W3CDTF">2026-06-30T15:02:00Z</dcterms:modified>
</cp:coreProperties>
</file>