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 ransomware attack affected a small U.S. health care clinic on a Tuesday morning around 9:00 a.m., causing major business disruption by encrypting critical files and displaying a ransom note demanding payment for decryption.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Network monitoring tools (for detecting abnormal activity)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Anti-malware/endpoint detection tools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Incident Response platform/tools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Communication tools for internal and external reporting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80" w:line="360" w:lineRule="auto"/>
              <w:rPr>
                <w:rFonts w:ascii="Roboto" w:cs="Roboto" w:eastAsia="Roboto" w:hAnsi="Roboto"/>
                <w:b w:val="1"/>
                <w:color w:val="434343"/>
                <w:sz w:val="34"/>
                <w:szCs w:val="34"/>
              </w:rPr>
            </w:pPr>
            <w:bookmarkStart w:colFirst="0" w:colLast="0" w:name="_onqvzu5pqw1p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34"/>
                <w:szCs w:val="34"/>
                <w:rtl w:val="0"/>
              </w:rPr>
              <w:t xml:space="preserve">The 5 W's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b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4"/>
                <w:szCs w:val="24"/>
                <w:rtl w:val="0"/>
              </w:rPr>
              <w:t xml:space="preserve">Who caused the incident?</w:t>
              <w:br w:type="textWrapping"/>
              <w:t xml:space="preserve">An organized group of unethical hackers specializing in targeting healthcare and transportation industries.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b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4"/>
                <w:szCs w:val="24"/>
                <w:rtl w:val="0"/>
              </w:rPr>
              <w:t xml:space="preserve">What happened?</w:t>
              <w:br w:type="textWrapping"/>
              <w:t xml:space="preserve">Attackers gained network access via phishing emails containing malicious attachments, deployed ransomware that encrypted patient and business files, and displayed ransom notes demanding payment for decryption keys.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b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4"/>
                <w:szCs w:val="24"/>
                <w:rtl w:val="0"/>
              </w:rPr>
              <w:t xml:space="preserve">When did the incident occur?</w:t>
              <w:br w:type="textWrapping"/>
              <w:t xml:space="preserve">Tuesday morning, approximately 9:00 a.m.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b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4"/>
                <w:szCs w:val="24"/>
                <w:rtl w:val="0"/>
              </w:rPr>
              <w:t xml:space="preserve">Where did the incident happen?</w:t>
              <w:br w:type="textWrapping"/>
              <w:t xml:space="preserve">At the small U.S. health care clinic’s computer network environment.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b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4"/>
                <w:szCs w:val="24"/>
                <w:rtl w:val="0"/>
              </w:rPr>
              <w:t xml:space="preserve">Why did the incident happen?</w:t>
              <w:br w:type="textWrapping"/>
              <w:t xml:space="preserve">The attackers exploited employee susceptibility to phishing. The ransomware attack aimed to extort money by denying access to critical healthcare data and disrupting operations.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b w:val="1"/>
                <w:color w:val="434343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The business had to shut down operations due to encrypted files.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Incident was reported to external organizations for technical assistance.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36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Recovery will involve malware removal, ransom negotiation considerations, data restoration from backups if available, and strengthening email security and employee training to prevent recurrence.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