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5B7183"/>
          <w:sz w:val="20"/>
          <w:szCs w:val="20"/>
        </w:rPr>
        <w:t xml:space="preserve">Infosys Springboard Virtual Internship Program 7.0 - Batch 3</w:t>
      </w:r>
    </w:p>
    <w:p>
      <w:pPr>
        <w:spacing w:after="160"/>
      </w:pPr>
      <w:r>
        <w:rPr>
          <w:b/>
          <w:bCs/>
          <w:color w:val="17324A"/>
          <w:sz w:val="42"/>
          <w:szCs w:val="42"/>
        </w:rPr>
        <w:t xml:space="preserve">Healthcare Operations Intelligence Dashboard with Decision Analytics</w:t>
      </w:r>
    </w:p>
    <w:p>
      <w:pPr>
        <w:spacing w:after="100"/>
      </w:pPr>
      <w:r>
        <w:rPr>
          <w:i/>
          <w:iCs/>
          <w:color w:val="2E6F8E"/>
          <w:sz w:val="24"/>
          <w:szCs w:val="24"/>
        </w:rPr>
        <w:t xml:space="preserve">Final Project Report</w:t>
      </w:r>
    </w:p>
    <w:p>
      <w:pPr>
        <w:spacing w:after="140" w:line="290"/>
      </w:pPr>
      <w:r>
        <w:t xml:space="preserve">Intern: [Your Name]    |    Mentor: [Mentor Name]    |    Repository: [GitHub URL]    |    Live dashboard: [URL]</w:t>
      </w:r>
    </w:p>
    <w:p>
      <w:pPr>
        <w:pStyle w:val="Heading1"/>
        <w:spacing w:after="120" w:before="300"/>
      </w:pPr>
      <w:r>
        <w:t xml:space="preserve">1. Introduction</w:t>
      </w:r>
    </w:p>
    <w:p>
      <w:pPr>
        <w:spacing w:after="140" w:line="290"/>
      </w:pPr>
      <w:r>
        <w:t xml:space="preserve">Hospital administrators must make daily decisions about capacity, cost and quality with limited visibility into how the network is performing. This project delivers an operations intelligence dashboard built on a patient-level admissions dataset. It consolidates key performance indicators, forecasts near-term admission volume, and uses a rule-based decision engine to generate prioritized recommendations.</w:t>
      </w:r>
    </w:p>
    <w:p>
      <w:pPr>
        <w:pStyle w:val="Heading1"/>
        <w:spacing w:after="120" w:before="300"/>
      </w:pPr>
      <w:r>
        <w:t xml:space="preserve">2. Objectives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t xml:space="preserve">Consolidate admissions data into a single, decision-ready view of operational KPIs.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t xml:space="preserve">Compare medical conditions and insurance payers against the network average.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t xml:space="preserve">Forecast monthly admission volume using regression and report forecast reliability.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t xml:space="preserve">Translate deviations into prioritized, plain-language recommended actions.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t xml:space="preserve">Deliver reproducible code, a deployed dashboard, and complete documentation.</w:t>
      </w:r>
    </w:p>
    <w:p>
      <w:pPr>
        <w:pStyle w:val="Heading1"/>
        <w:spacing w:after="120" w:before="300"/>
      </w:pPr>
      <w:r>
        <w:t xml:space="preserve">3. Dataset</w:t>
      </w:r>
    </w:p>
    <w:p>
      <w:pPr>
        <w:spacing w:after="140" w:line="290"/>
      </w:pPr>
      <w:r>
        <w:t xml:space="preserve">The supplied healthcare_dataset.csv contains 10,000 admissions between 30 Oct 2018 and 30 Oct 2023 with 15 fields: patient demographics, medical condition, admission and discharge dates, doctor, hospital, insurer, billing amount, room number, admission type, medication and test result. There are no missing values. The dataset is a widely used synthetic dataset, so values are randomly generated and cluster near the average.</w:t>
      </w:r>
    </w:p>
    <w:p>
      <w:pPr>
        <w:spacing w:after="140" w:line="290"/>
      </w:pPr>
      <w:r>
        <w:t xml:space="preserve">Data observations that shaped the design: (a) the Hospital field has 8,639 distinct values (almost one per row) so it was not used for grouping; Medical Condition was used as the operational unit instead; (b) the file has no patient identifier, occupancy or staffing fields, so readmission and bed-occupancy KPIs could not be computed and were replaced with length of stay, billing, abnormal-result rate and emergency share; (c) the first month contains only 8 admissions because data begins on the 30th.</w:t>
      </w:r>
    </w:p>
    <w:p>
      <w:pPr>
        <w:pStyle w:val="Heading1"/>
        <w:spacing w:after="120" w:before="300"/>
      </w:pPr>
      <w:r>
        <w:t xml:space="preserve">4. System Architecture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t xml:space="preserve">Data layer: healthcare_dataset.csv loaded and cleaned with pandas; length of stay derived as discharge minus admission date.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t xml:space="preserve">Analytics layer (Python, pandas, scikit-learn): KPIs, condition scorecard, monthly regression forecast, decision engine; exports JSON and CSV.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t xml:space="preserve">Presentation layer: static HTML/JavaScript dashboard (Chart.js) with five views, deployed on GitHub Pages.</w:t>
      </w:r>
    </w:p>
    <w:p>
      <w:pPr>
        <w:pStyle w:val="Heading1"/>
        <w:spacing w:after="120" w:before="300"/>
      </w:pPr>
      <w:r>
        <w:t xml:space="preserve">5. Key Performance Indicators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3000"/>
      </w:tblGrid>
      <w:tr>
        <w:trPr>
          <w:tblHeader/>
        </w:trPr>
        <w:tc>
          <w:tcPr>
            <w:tcW w:type="dxa" w:w="5000"/>
            <w:shd w:fill="17324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KPI</w:t>
            </w:r>
          </w:p>
        </w:tc>
        <w:tc>
          <w:tcPr>
            <w:tcW w:type="dxa" w:w="3000"/>
            <w:shd w:fill="17324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5000"/>
            <w:shd w:fill="F2F6F8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Total admissions</w:t>
            </w:r>
          </w:p>
        </w:tc>
        <w:tc>
          <w:tcPr>
            <w:tcW w:type="dxa" w:w="3000"/>
            <w:shd w:fill="F2F6F8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10,000</w:t>
            </w:r>
          </w:p>
        </w:tc>
      </w:tr>
      <w:tr>
        <w:tc>
          <w:tcPr>
            <w:tcW w:type="dxa" w:w="50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Average length of stay</w:t>
            </w:r>
          </w:p>
        </w:tc>
        <w:tc>
          <w:tcPr>
            <w:tcW w:type="dxa" w:w="30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15.56 days</w:t>
            </w:r>
          </w:p>
        </w:tc>
      </w:tr>
      <w:tr>
        <w:tc>
          <w:tcPr>
            <w:tcW w:type="dxa" w:w="5000"/>
            <w:shd w:fill="F2F6F8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Average billing per admission</w:t>
            </w:r>
          </w:p>
        </w:tc>
        <w:tc>
          <w:tcPr>
            <w:tcW w:type="dxa" w:w="3000"/>
            <w:shd w:fill="F2F6F8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$25,517</w:t>
            </w:r>
          </w:p>
        </w:tc>
      </w:tr>
      <w:tr>
        <w:tc>
          <w:tcPr>
            <w:tcW w:type="dxa" w:w="50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Abnormal test-result rate</w:t>
            </w:r>
          </w:p>
        </w:tc>
        <w:tc>
          <w:tcPr>
            <w:tcW w:type="dxa" w:w="30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34.6%</w:t>
            </w:r>
          </w:p>
        </w:tc>
      </w:tr>
      <w:tr>
        <w:tc>
          <w:tcPr>
            <w:tcW w:type="dxa" w:w="5000"/>
            <w:shd w:fill="F2F6F8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Emergency admission share</w:t>
            </w:r>
          </w:p>
        </w:tc>
        <w:tc>
          <w:tcPr>
            <w:tcW w:type="dxa" w:w="3000"/>
            <w:shd w:fill="F2F6F8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33.7%</w:t>
            </w:r>
          </w:p>
        </w:tc>
      </w:tr>
    </w:tbl>
    <w:p>
      <w:pPr>
        <w:spacing w:after="160"/>
      </w:pPr>
    </w:p>
    <w:p>
      <w:pPr>
        <w:pStyle w:val="Heading1"/>
        <w:spacing w:after="120" w:before="300"/>
      </w:pPr>
      <w:r>
        <w:t xml:space="preserve">6. Condition Scorecard</w:t>
      </w:r>
    </w:p>
    <w:p>
      <w:pPr>
        <w:spacing w:after="140" w:line="290"/>
      </w:pPr>
      <w:r>
        <w:t xml:space="preserve">Each condition's average stay, billing and abnormal-result rate is converted to a z-score against the six conditions and summed. A total above 0.5 is Watch; above 1.5 is Needs Attention.</w:t>
      </w:r>
    </w:p>
    <w:tbl>
      <w:tblPr>
        <w:tblW w:type="dxa" w:w="85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150"/>
        <w:gridCol w:w="1000"/>
        <w:gridCol w:w="1300"/>
        <w:gridCol w:w="1100"/>
        <w:gridCol w:w="1200"/>
        <w:gridCol w:w="1300"/>
      </w:tblGrid>
      <w:tr>
        <w:trPr>
          <w:tblHeader/>
        </w:trPr>
        <w:tc>
          <w:tcPr>
            <w:tcW w:type="dxa" w:w="1500"/>
            <w:shd w:fill="17324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Condition</w:t>
            </w:r>
          </w:p>
        </w:tc>
        <w:tc>
          <w:tcPr>
            <w:tcW w:type="dxa" w:w="1150"/>
            <w:shd w:fill="17324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Admissions</w:t>
            </w:r>
          </w:p>
        </w:tc>
        <w:tc>
          <w:tcPr>
            <w:tcW w:type="dxa" w:w="1000"/>
            <w:shd w:fill="17324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Avg LOS</w:t>
            </w:r>
          </w:p>
        </w:tc>
        <w:tc>
          <w:tcPr>
            <w:tcW w:type="dxa" w:w="1300"/>
            <w:shd w:fill="17324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Avg Billing</w:t>
            </w:r>
          </w:p>
        </w:tc>
        <w:tc>
          <w:tcPr>
            <w:tcW w:type="dxa" w:w="1100"/>
            <w:shd w:fill="17324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Abnormal</w:t>
            </w:r>
          </w:p>
        </w:tc>
        <w:tc>
          <w:tcPr>
            <w:tcW w:type="dxa" w:w="1200"/>
            <w:shd w:fill="17324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Emergency</w:t>
            </w:r>
          </w:p>
        </w:tc>
        <w:tc>
          <w:tcPr>
            <w:tcW w:type="dxa" w:w="1300"/>
            <w:shd w:fill="17324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1500"/>
            <w:shd w:fill="F2F6F8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Arthritis</w:t>
            </w:r>
          </w:p>
        </w:tc>
        <w:tc>
          <w:tcPr>
            <w:tcW w:type="dxa" w:w="1150"/>
            <w:shd w:fill="F2F6F8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1,650</w:t>
            </w:r>
          </w:p>
        </w:tc>
        <w:tc>
          <w:tcPr>
            <w:tcW w:type="dxa" w:w="1000"/>
            <w:shd w:fill="F2F6F8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16.0 d</w:t>
            </w:r>
          </w:p>
        </w:tc>
        <w:tc>
          <w:tcPr>
            <w:tcW w:type="dxa" w:w="1300"/>
            <w:shd w:fill="F2F6F8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$25,188</w:t>
            </w:r>
          </w:p>
        </w:tc>
        <w:tc>
          <w:tcPr>
            <w:tcW w:type="dxa" w:w="1100"/>
            <w:shd w:fill="F2F6F8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33.6%</w:t>
            </w:r>
          </w:p>
        </w:tc>
        <w:tc>
          <w:tcPr>
            <w:tcW w:type="dxa" w:w="1200"/>
            <w:shd w:fill="F2F6F8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32.1%</w:t>
            </w:r>
          </w:p>
        </w:tc>
        <w:tc>
          <w:tcPr>
            <w:tcW w:type="dxa" w:w="1300"/>
            <w:shd w:fill="F2F6F8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On Target</w:t>
            </w:r>
          </w:p>
        </w:tc>
      </w:tr>
      <w:tr>
        <w:tc>
          <w:tcPr>
            <w:tcW w:type="dxa" w:w="15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Asthma</w:t>
            </w:r>
          </w:p>
        </w:tc>
        <w:tc>
          <w:tcPr>
            <w:tcW w:type="dxa" w:w="115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1,708</w:t>
            </w:r>
          </w:p>
        </w:tc>
        <w:tc>
          <w:tcPr>
            <w:tcW w:type="dxa" w:w="10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15.5 d</w:t>
            </w:r>
          </w:p>
        </w:tc>
        <w:tc>
          <w:tcPr>
            <w:tcW w:type="dxa" w:w="13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$25,417</w:t>
            </w:r>
          </w:p>
        </w:tc>
        <w:tc>
          <w:tcPr>
            <w:tcW w:type="dxa" w:w="11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36.5%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32.6%</w:t>
            </w:r>
          </w:p>
        </w:tc>
        <w:tc>
          <w:tcPr>
            <w:tcW w:type="dxa" w:w="13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Watch</w:t>
            </w:r>
          </w:p>
        </w:tc>
      </w:tr>
      <w:tr>
        <w:tc>
          <w:tcPr>
            <w:tcW w:type="dxa" w:w="1500"/>
            <w:shd w:fill="F2F6F8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Cancer</w:t>
            </w:r>
          </w:p>
        </w:tc>
        <w:tc>
          <w:tcPr>
            <w:tcW w:type="dxa" w:w="1150"/>
            <w:shd w:fill="F2F6F8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1,703</w:t>
            </w:r>
          </w:p>
        </w:tc>
        <w:tc>
          <w:tcPr>
            <w:tcW w:type="dxa" w:w="1000"/>
            <w:shd w:fill="F2F6F8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15.5 d</w:t>
            </w:r>
          </w:p>
        </w:tc>
        <w:tc>
          <w:tcPr>
            <w:tcW w:type="dxa" w:w="1300"/>
            <w:shd w:fill="F2F6F8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$25,539</w:t>
            </w:r>
          </w:p>
        </w:tc>
        <w:tc>
          <w:tcPr>
            <w:tcW w:type="dxa" w:w="1100"/>
            <w:shd w:fill="F2F6F8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33.9%</w:t>
            </w:r>
          </w:p>
        </w:tc>
        <w:tc>
          <w:tcPr>
            <w:tcW w:type="dxa" w:w="1200"/>
            <w:shd w:fill="F2F6F8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33.9%</w:t>
            </w:r>
          </w:p>
        </w:tc>
        <w:tc>
          <w:tcPr>
            <w:tcW w:type="dxa" w:w="1300"/>
            <w:shd w:fill="F2F6F8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On Target</w:t>
            </w:r>
          </w:p>
        </w:tc>
      </w:tr>
      <w:tr>
        <w:tc>
          <w:tcPr>
            <w:tcW w:type="dxa" w:w="15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Diabetes</w:t>
            </w:r>
          </w:p>
        </w:tc>
        <w:tc>
          <w:tcPr>
            <w:tcW w:type="dxa" w:w="115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1,623</w:t>
            </w:r>
          </w:p>
        </w:tc>
        <w:tc>
          <w:tcPr>
            <w:tcW w:type="dxa" w:w="10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15.6 d</w:t>
            </w:r>
          </w:p>
        </w:tc>
        <w:tc>
          <w:tcPr>
            <w:tcW w:type="dxa" w:w="13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$26,060</w:t>
            </w:r>
          </w:p>
        </w:tc>
        <w:tc>
          <w:tcPr>
            <w:tcW w:type="dxa" w:w="11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33.1%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34.3%</w:t>
            </w:r>
          </w:p>
        </w:tc>
        <w:tc>
          <w:tcPr>
            <w:tcW w:type="dxa" w:w="13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Watch</w:t>
            </w:r>
          </w:p>
        </w:tc>
      </w:tr>
      <w:tr>
        <w:tc>
          <w:tcPr>
            <w:tcW w:type="dxa" w:w="1500"/>
            <w:shd w:fill="F2F6F8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Hypertension</w:t>
            </w:r>
          </w:p>
        </w:tc>
        <w:tc>
          <w:tcPr>
            <w:tcW w:type="dxa" w:w="1150"/>
            <w:shd w:fill="F2F6F8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1,688</w:t>
            </w:r>
          </w:p>
        </w:tc>
        <w:tc>
          <w:tcPr>
            <w:tcW w:type="dxa" w:w="1000"/>
            <w:shd w:fill="F2F6F8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15.4 d</w:t>
            </w:r>
          </w:p>
        </w:tc>
        <w:tc>
          <w:tcPr>
            <w:tcW w:type="dxa" w:w="1300"/>
            <w:shd w:fill="F2F6F8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$25,198</w:t>
            </w:r>
          </w:p>
        </w:tc>
        <w:tc>
          <w:tcPr>
            <w:tcW w:type="dxa" w:w="1100"/>
            <w:shd w:fill="F2F6F8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35.7%</w:t>
            </w:r>
          </w:p>
        </w:tc>
        <w:tc>
          <w:tcPr>
            <w:tcW w:type="dxa" w:w="1200"/>
            <w:shd w:fill="F2F6F8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34.2%</w:t>
            </w:r>
          </w:p>
        </w:tc>
        <w:tc>
          <w:tcPr>
            <w:tcW w:type="dxa" w:w="1300"/>
            <w:shd w:fill="F2F6F8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On Target</w:t>
            </w:r>
          </w:p>
        </w:tc>
      </w:tr>
      <w:tr>
        <w:tc>
          <w:tcPr>
            <w:tcW w:type="dxa" w:w="15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Obesity</w:t>
            </w:r>
          </w:p>
        </w:tc>
        <w:tc>
          <w:tcPr>
            <w:tcW w:type="dxa" w:w="115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1,628</w:t>
            </w:r>
          </w:p>
        </w:tc>
        <w:tc>
          <w:tcPr>
            <w:tcW w:type="dxa" w:w="10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15.4 d</w:t>
            </w:r>
          </w:p>
        </w:tc>
        <w:tc>
          <w:tcPr>
            <w:tcW w:type="dxa" w:w="13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$25,721</w:t>
            </w:r>
          </w:p>
        </w:tc>
        <w:tc>
          <w:tcPr>
            <w:tcW w:type="dxa" w:w="11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34.5%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35.0%</w:t>
            </w:r>
          </w:p>
        </w:tc>
        <w:tc>
          <w:tcPr>
            <w:tcW w:type="dxa" w:w="13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On Target</w:t>
            </w:r>
          </w:p>
        </w:tc>
      </w:tr>
    </w:tbl>
    <w:p>
      <w:pPr>
        <w:spacing w:after="160"/>
      </w:pPr>
    </w:p>
    <w:p>
      <w:pPr>
        <w:pStyle w:val="Heading1"/>
        <w:spacing w:after="120" w:before="300"/>
      </w:pPr>
      <w:r>
        <w:t xml:space="preserve">7. Forecasting</w:t>
      </w:r>
    </w:p>
    <w:p>
      <w:pPr>
        <w:spacing w:after="140" w:line="290"/>
      </w:pPr>
      <w:r>
        <w:t xml:space="preserve">Monthly admissions are modelled with ordinary least-squares linear regression and projected six months ahead, network-wide and per condition. Partial boundary months are excluded. Initial testing that included the 8-admission first month produced a spurious upward slope of about +0.28 admissions/month; after exclusion the slope is +0.03 admissions/month with R² of 0.001, i.e. volume is flat at roughly 167 admissions per month. This is reported transparently in the dashboard because a low R² means the forecast should be read as a baseline, not a prediction of change.</w:t>
      </w:r>
    </w:p>
    <w:p>
      <w:pPr>
        <w:pStyle w:val="Heading1"/>
        <w:spacing w:after="120" w:before="300"/>
      </w:pPr>
      <w:r>
        <w:t xml:space="preserve">8. Decision Analytics</w:t>
      </w:r>
    </w:p>
    <w:p>
      <w:pPr>
        <w:spacing w:after="140" w:line="290"/>
      </w:pPr>
      <w:r>
        <w:t xml:space="preserve">The engine applies rules to the scorecard and payer data and returns prioritized recommendations: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700"/>
        <w:gridCol w:w="6200"/>
      </w:tblGrid>
      <w:tr>
        <w:trPr>
          <w:tblHeader/>
        </w:trPr>
        <w:tc>
          <w:tcPr>
            <w:tcW w:type="dxa" w:w="1100"/>
            <w:shd w:fill="17324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1700"/>
            <w:shd w:fill="17324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6200"/>
            <w:shd w:fill="17324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Recommendation</w:t>
            </w:r>
          </w:p>
        </w:tc>
      </w:tr>
      <w:tr>
        <w:tc>
          <w:tcPr>
            <w:tcW w:type="dxa" w:w="1100"/>
            <w:shd w:fill="F2F6F8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Medium</w:t>
            </w:r>
          </w:p>
        </w:tc>
        <w:tc>
          <w:tcPr>
            <w:tcW w:type="dxa" w:w="1700"/>
            <w:shd w:fill="F2F6F8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Quality &amp; Cost</w:t>
            </w:r>
          </w:p>
        </w:tc>
        <w:tc>
          <w:tcPr>
            <w:tcW w:type="dxa" w:w="6200"/>
            <w:shd w:fill="F2F6F8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Asthma: 36.5% abnormal results (highest) - monitor next quarter before escalating.</w:t>
            </w:r>
          </w:p>
        </w:tc>
      </w:tr>
      <w:tr>
        <w:tc>
          <w:tcPr>
            <w:tcW w:type="dxa" w:w="11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Medium</w:t>
            </w:r>
          </w:p>
        </w:tc>
        <w:tc>
          <w:tcPr>
            <w:tcW w:type="dxa" w:w="17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Quality &amp; Cost</w:t>
            </w:r>
          </w:p>
        </w:tc>
        <w:tc>
          <w:tcPr>
            <w:tcW w:type="dxa" w:w="62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Diabetes: highest average billing ($26,060) - monitor next quarter before escalating.</w:t>
            </w:r>
          </w:p>
        </w:tc>
      </w:tr>
      <w:tr>
        <w:tc>
          <w:tcPr>
            <w:tcW w:type="dxa" w:w="1100"/>
            <w:shd w:fill="F2F6F8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Low</w:t>
            </w:r>
          </w:p>
        </w:tc>
        <w:tc>
          <w:tcPr>
            <w:tcW w:type="dxa" w:w="1700"/>
            <w:shd w:fill="F2F6F8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Revenue Cycle</w:t>
            </w:r>
          </w:p>
        </w:tc>
        <w:tc>
          <w:tcPr>
            <w:tcW w:type="dxa" w:w="6200"/>
            <w:shd w:fill="F2F6F8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Aetna: average billing $25,838, about 1.3% above network average - include in next billing audit.</w:t>
            </w:r>
          </w:p>
        </w:tc>
      </w:tr>
    </w:tbl>
    <w:p>
      <w:pPr>
        <w:spacing w:after="160"/>
      </w:pPr>
    </w:p>
    <w:p>
      <w:pPr>
        <w:pStyle w:val="Heading1"/>
        <w:spacing w:after="120" w:before="300"/>
      </w:pPr>
      <w:r>
        <w:t xml:space="preserve">9. Testing</w:t>
      </w:r>
    </w:p>
    <w:p>
      <w:pPr>
        <w:spacing w:after="140" w:line="290"/>
      </w:pPr>
      <w:r>
        <w:t xml:space="preserve">Pipeline outputs were verified programmatically: 10,000 rows loaded; length of stay between 1 and 30 days with no negatives; condition admissions sum to 10,000; partial first month excluded from the forecast series; exported analytical CSV contains no patient name or doctor. The dashboard script was executed against a stubbed DOM to confirm all 11 charts and tables build without errors. Full details are in docs/test_plan.md.</w:t>
      </w:r>
    </w:p>
    <w:p>
      <w:pPr>
        <w:pStyle w:val="Heading1"/>
        <w:spacing w:after="120" w:before="300"/>
      </w:pPr>
      <w:r>
        <w:t xml:space="preserve">10. Agile Delivery</w:t>
      </w:r>
    </w:p>
    <w:p>
      <w:pPr>
        <w:spacing w:after="140" w:line="290"/>
      </w:pPr>
      <w:r>
        <w:t xml:space="preserve">The project was delivered in four one-week sprints (42 story points, 11 user stories): data foundation, descriptive dashboard, decision analytics, and delivery/documentation. Sprint plan, backlog, task board, progress report and retrospective are in the agile/ folder.</w:t>
      </w:r>
    </w:p>
    <w:p>
      <w:pPr>
        <w:pStyle w:val="Heading1"/>
        <w:spacing w:after="120" w:before="300"/>
      </w:pPr>
      <w:r>
        <w:t xml:space="preserve">11. Limitations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t xml:space="preserve">Synthetic data: metrics cluster near the average and no strong trends exist.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t xml:space="preserve">No occupancy, staffing or readmission fields, so those operational KPIs are out of scope.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t xml:space="preserve">Linear regression cannot capture seasonality; forecast reliability is low on this data.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t xml:space="preserve">Rule thresholds are relative (z-score) rather than clinically validated targets.</w:t>
      </w:r>
    </w:p>
    <w:p>
      <w:pPr>
        <w:pStyle w:val="Heading1"/>
        <w:spacing w:after="120" w:before="300"/>
      </w:pPr>
      <w:r>
        <w:t xml:space="preserve">12. Future Work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t xml:space="preserve">Connect to a real EHR/ADT extract with patient IDs, bed census and staffing data.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t xml:space="preserve">Add seasonal forecasting (SARIMA/Prophet) and a patient-level readmission-risk model.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t xml:space="preserve">Add role-based views, authentication and automated CI tests.</w:t>
      </w:r>
    </w:p>
    <w:p>
      <w:pPr>
        <w:pStyle w:val="Heading1"/>
        <w:spacing w:after="120" w:before="300"/>
      </w:pPr>
      <w:r>
        <w:t xml:space="preserve">13. Conclusion</w:t>
      </w:r>
    </w:p>
    <w:p>
      <w:pPr>
        <w:spacing w:after="140" w:line="290"/>
      </w:pPr>
      <w:r>
        <w:t xml:space="preserve">The project delivers a reproducible analytics pipeline, a deployable dashboard and a transparent decision-support layer. Its design is data-agnostic: replacing the CSV with real operational data requires no change to the code, and the same engine will surface stronger signals.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2026-10-25T09:15:37.715Z</dcterms:created>
  <dcterms:modified xsi:type="dcterms:W3CDTF">2026-10-25T09:15:37.715Z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