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B49"/>
          <w:sz w:val="32"/>
        </w:rPr>
        <w:t>Diagnosing the Multi-Hop Retrieval-Generation Gap:</w:t>
        <w:br/>
        <w:t>A Stage-Wise Empirical Study on HotpotQA</w:t>
      </w:r>
    </w:p>
    <w:p>
      <w:pPr>
        <w:spacing w:before="40" w:after="20"/>
        <w:jc w:val="center"/>
      </w:pPr>
      <w:r>
        <w:rPr>
          <w:rFonts w:ascii="Times New Roman" w:hAnsi="Times New Roman"/>
          <w:color w:val="333333"/>
          <w:sz w:val="19"/>
        </w:rPr>
        <w:t>Abirami K</w:t>
        <w:br/>
        <w:t>Department of Computer Science and Engineering</w:t>
        <w:br/>
        <w:t>abiramikondaiyan@gmail.com</w:t>
      </w:r>
    </w:p>
    <w:p>
      <w:pPr>
        <w:spacing w:before="20" w:after="120"/>
        <w:jc w:val="center"/>
      </w:pPr>
      <w:r>
        <w:rPr>
          <w:rFonts w:ascii="Times New Roman" w:hAnsi="Times New Roman"/>
          <w:i/>
          <w:color w:val="004488"/>
          <w:sz w:val="17"/>
        </w:rPr>
        <w:t>Repository &amp; Live Reproduction Suite: https://github.com/abirami-302/MultiHop-RAG-Diagnosis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B0C4DE"/>
          <w:insideV w:val="none"/>
          <w:left w:val="none"/>
          <w:right w:val="none"/>
        </w:tblBorders>
      </w:tblPr>
      <w:tblGrid>
        <w:gridCol w:w="5040"/>
        <w:gridCol w:w="5040"/>
      </w:tblGrid>
      <w:tr>
        <w:tc>
          <w:tcPr>
            <w:tcW w:type="dxa" w:w="5040"/>
            <w:shd w:fill="F0F4F8"/>
            <w:tcMar>
              <w:top w:w="80" w:type="dxa"/>
              <w:bottom w:w="80" w:type="dxa"/>
              <w:left w:w="100" w:type="dxa"/>
              <w:right w:w="100" w:type="dxa"/>
            </w:tcMar>
          </w:tcPr>
          <w:p>
            <w:pPr>
              <w:spacing w:before="0" w:after="0" w:line="252" w:lineRule="auto"/>
            </w:pPr>
            <w:r>
              <w:rPr>
                <w:rFonts w:ascii="Times New Roman" w:hAnsi="Times New Roman"/>
                <w:b/>
                <w:sz w:val="16"/>
              </w:rPr>
              <w:t>ARTICLE INFO</w:t>
              <w:br/>
              <w:br/>
              <w:t>Keywords:</w:t>
              <w:br/>
            </w:r>
            <w:r>
              <w:rPr>
                <w:rFonts w:ascii="Times New Roman" w:hAnsi="Times New Roman"/>
                <w:sz w:val="15"/>
              </w:rPr>
              <w:t>• Multi-hop QA</w:t>
              <w:br/>
              <w:t>• Retrieval-Augmented Generation</w:t>
              <w:br/>
              <w:t>• HotpotQA Benchmark</w:t>
              <w:br/>
              <w:t>• Cross-Encoder Reranking</w:t>
              <w:br/>
              <w:t>• Paired Bootstrap Testing</w:t>
              <w:br/>
              <w:t>• Reader Capacity Scaling</w:t>
              <w:br/>
              <w:t>• Error Budget Decomposition</w:t>
            </w:r>
          </w:p>
        </w:tc>
        <w:tc>
          <w:tcPr>
            <w:tcW w:type="dxa" w:w="5040"/>
            <w:shd w:fill="FCFDFE"/>
            <w:tcMar>
              <w:top w:w="80" w:type="dxa"/>
              <w:bottom w:w="80" w:type="dxa"/>
              <w:left w:w="120" w:type="dxa"/>
              <w:right w:w="120" w:type="dxa"/>
            </w:tcMar>
          </w:tcPr>
          <w:p>
            <w:pPr>
              <w:spacing w:before="0" w:after="0" w:line="252" w:lineRule="auto"/>
              <w:jc w:val="both"/>
            </w:pPr>
            <w:r>
              <w:rPr>
                <w:rFonts w:ascii="Times New Roman" w:hAnsi="Times New Roman"/>
                <w:b/>
                <w:sz w:val="17"/>
              </w:rPr>
              <w:t>ABSTRACT</w:t>
              <w:br/>
            </w:r>
            <w:r>
              <w:rPr>
                <w:rFonts w:ascii="Times New Roman" w:hAnsi="Times New Roman"/>
                <w:sz w:val="16"/>
              </w:rPr>
              <w:t>Multi-hop question answering requires synthesizing evidence scattered across multiple source passages. While complex iterative retrieval pipelines are frequently proposed to address this challenge, their stage-wise error mechanisms remain insufficiently understood. In this study, we present an empirical diagnostic investigation comparing thirteen retrieval and generation configurations on a 500-question evaluation benchmark drawn from HotpotQA over a pooled corpus of 19,260 passages under a unified execution protocol. Using paired bootstrap resampling (B=10,000) and McNemar's paired non-parametric tests with Holm-Bonferroni family-wise error control, we decouple the relative impact of neural reranking, iterative querying, and generator capacity. Our findings reveal that cross-encoder reranking yields the single largest retrieval gain (+15.40 pp AllSF@5), whereas iterative second-hop retrieval contributes a modest gain (+2.80 pp AllSF@5) that fails to translate into statistically detectable downstream Exact Match improvements. Decomposing the end-to-end performance deficit reveals that imperfect retrieval accounts for only 21.9% of the overall Exact Match deficit under a 3B reader, contracting to 17.1% under a 7B reader. Providing identical retrieved evidence to a 7B reader improves Exact Match by +12.20 pp (reaching 52.00%, comparable to the 3B model's gold-evidence ceiling of 53.00%). A hand-verified error audit of 60 failure cases reveals that 36.70% of downstream errors stem from surface-form metric penalties rather than factual errors. These results demonstrate that multi-hop RAG systems operating over distractor-rich corpora face severe diminishing returns from retrieval optimization and are predominantly reader-and-metric-bound.</w:t>
            </w:r>
          </w:p>
        </w:tc>
      </w:tr>
    </w:tbl>
    <w:p>
      <w:pPr>
        <w:sectPr>
          <w:pgSz w:w="12240" w:h="15840"/>
          <w:pgMar w:top="1080" w:right="1080" w:bottom="1080" w:left="1080" w:header="720" w:footer="720" w:gutter="0"/>
          <w:cols w:space="720"/>
          <w:docGrid w:linePitch="360"/>
        </w:sectPr>
      </w:pPr>
    </w:p>
    <w:p>
      <w:pPr>
        <w:keepNext/>
        <w:spacing w:before="160" w:after="50"/>
      </w:pPr>
      <w:r>
        <w:rPr>
          <w:rFonts w:ascii="Times New Roman" w:hAnsi="Times New Roman"/>
          <w:b/>
          <w:color w:val="002B49"/>
          <w:sz w:val="22"/>
        </w:rPr>
        <w:t>1. Introduction</w:t>
      </w:r>
    </w:p>
    <w:p>
      <w:pPr>
        <w:spacing w:before="0" w:after="80" w:line="259" w:lineRule="auto"/>
        <w:jc w:val="both"/>
      </w:pPr>
      <w:r>
        <w:rPr>
          <w:rFonts w:ascii="Times New Roman" w:hAnsi="Times New Roman"/>
          <w:sz w:val="19"/>
        </w:rPr>
        <w:t>Retrieval-Augmented Generation (RAG) has emerged as the standard paradigm for grounding large language models in verifiable external documentation [1, 2]. By dynamically querying non-parametric text indices at inference time, RAG systems mitigate factual hallucinations, navigate knowledge cutoff constraints, and provide inspectable citations [3]. However, multi-step queries—such as synthesizing entity relationships across separate Wikipedia passages—frequently expose acute retrieval bottlenecks [4].</w:t>
      </w:r>
    </w:p>
    <w:p>
      <w:pPr>
        <w:spacing w:before="0" w:after="80" w:line="259" w:lineRule="auto"/>
        <w:jc w:val="both"/>
      </w:pPr>
      <w:r>
        <w:rPr>
          <w:rFonts w:ascii="Times New Roman" w:hAnsi="Times New Roman"/>
          <w:sz w:val="19"/>
        </w:rPr>
        <w:t>The standard response in recent literature has been architectural: introducing multi-agent debate loops, iterative query reformulations, and multi-hop graph traversals, exemplified by frameworks like IRCoT [5], DSP [6], and Self-RAG [7]. These architectures proceed from the assumption that missing evidence is the primary bottleneck suppressing downstream answer accuracy.</w:t>
      </w:r>
    </w:p>
    <w:p>
      <w:pPr>
        <w:spacing w:before="0" w:after="80" w:line="259" w:lineRule="auto"/>
        <w:jc w:val="both"/>
      </w:pPr>
      <w:r>
        <w:rPr>
          <w:rFonts w:ascii="Times New Roman" w:hAnsi="Times New Roman"/>
          <w:sz w:val="19"/>
        </w:rPr>
        <w:t>Yet evaluating multi-hop systems often conflates retrieval recall gains with answer generation improvements [8]. Many reported improvements fail to isolate whether downstream accuracy gains originate from genuinely superior multi-hop evidence capture, broader context windows, or the downstream generator's capacity to digest noisy candidate sets [9]. Without stage-wise error decomposition and paired statistical testing, practitioners risk engineering intricate retrieval workflows to resolve what might actually be a reader reasoning or metric-formatting deficiency [10].</w:t>
      </w:r>
    </w:p>
    <w:p>
      <w:pPr>
        <w:spacing w:before="0" w:after="80" w:line="259" w:lineRule="auto"/>
        <w:jc w:val="both"/>
      </w:pPr>
      <w:r>
        <w:rPr>
          <w:rFonts w:ascii="Times New Roman" w:hAnsi="Times New Roman"/>
          <w:sz w:val="19"/>
        </w:rPr>
        <w:t>To investigate this dynamic, we conducted an empirical diagnostic study rather than proposing a new retrieval architecture. We evaluate multi-hop RAG stage by stage on HotpotQA [4], evaluating 500 questions against a pooled corpus of 19,260 passages on dual NVIDIA Tesla T4 GPUs. We systematically isolate sparse lexical retrieval (BM25 [11]), dense semantic search (BGE-Small [12]), reciprocal rank fusion (RRF [13]), neural cross-encoder reranking [14], and iterative second-hop retrieval. Crucially, we enforce controlled baselines, including an identical-pool single-pass control (Pool-50) and a wider-context baseline (K=10), paired bootstrap resampling with Holm-Bonferroni family-wise error control [15, 16], and McNemar's tests on paired binary Exact Match outcomes [17].</w:t>
      </w:r>
    </w:p>
    <w:p>
      <w:pPr>
        <w:keepNext/>
        <w:spacing w:before="160" w:after="50"/>
      </w:pPr>
      <w:r>
        <w:rPr>
          <w:rFonts w:ascii="Times New Roman" w:hAnsi="Times New Roman"/>
          <w:b/>
          <w:color w:val="1E293B"/>
          <w:sz w:val="20"/>
        </w:rPr>
        <w:t>1.1 Contributions</w:t>
      </w:r>
    </w:p>
    <w:p>
      <w:pPr>
        <w:spacing w:before="0" w:after="80" w:line="259" w:lineRule="auto"/>
        <w:jc w:val="both"/>
      </w:pPr>
      <w:r>
        <w:rPr>
          <w:rFonts w:ascii="Times New Roman" w:hAnsi="Times New Roman"/>
          <w:sz w:val="19"/>
        </w:rPr>
        <w:t>Our paper provides an empirical diagnostic study rather than a novel pipeline architecture. Specifically, we report three core findings:</w:t>
      </w:r>
    </w:p>
    <w:p>
      <w:pPr>
        <w:spacing w:before="0" w:after="80" w:line="259" w:lineRule="auto"/>
        <w:jc w:val="both"/>
      </w:pPr>
      <w:r>
        <w:rPr>
          <w:rFonts w:ascii="Times New Roman" w:hAnsi="Times New Roman"/>
          <w:sz w:val="19"/>
        </w:rPr>
        <w:t>1. Stage-Wise Error Decomposition: We quantify the exact source of end-to-end performance loss (Table 1). Under a 3B reader, imperfect retrieval accounts for only 21.9% of the overall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 [18].</w:t>
      </w:r>
    </w:p>
    <w:p>
      <w:pPr>
        <w:spacing w:before="0" w:after="80" w:line="259" w:lineRule="auto"/>
        <w:jc w:val="both"/>
      </w:pPr>
      <w:r>
        <w:rPr>
          <w:rFonts w:ascii="Times New Roman" w:hAnsi="Times New Roman"/>
          <w:sz w:val="19"/>
        </w:rPr>
        <w:t>2. Retrieval Lever Disambiguation: Cross-encoder reranking serves as the dominant retrieval lever, contributing +15.40 pp in all-supporting-fact retrieval coverage (AllSF@5), whereas iterative Hop-2 query augmentation adds a modest +2.80 pp. Under paired McNemar testing, this retrieval gain produces no statistically detectable improvement in downstream Exact Match (p_holm = 0.8511).</w:t>
      </w:r>
    </w:p>
    <w:p>
      <w:pPr>
        <w:spacing w:before="0" w:after="80" w:line="259" w:lineRule="auto"/>
        <w:jc w:val="both"/>
      </w:pPr>
      <w:r>
        <w:rPr>
          <w:rFonts w:ascii="Times New Roman" w:hAnsi="Times New Roman"/>
          <w:sz w:val="19"/>
        </w:rPr>
        <w:t>3. Qualitative Failure Taxonomy: Through a hand-verified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show that multi-hop QA over distractor-rich corpora is primarily reader-and-metric-bound rather than retrieval-bound [19].</w:t>
      </w:r>
    </w:p>
    <w:p>
      <w:pPr>
        <w:keepNext/>
        <w:spacing w:before="160" w:after="50"/>
      </w:pPr>
      <w:r>
        <w:rPr>
          <w:rFonts w:ascii="Times New Roman" w:hAnsi="Times New Roman"/>
          <w:b/>
          <w:color w:val="002B49"/>
          <w:sz w:val="22"/>
        </w:rPr>
        <w:t>2. Related Work</w:t>
      </w:r>
    </w:p>
    <w:p>
      <w:pPr>
        <w:spacing w:before="0" w:after="80" w:line="259" w:lineRule="auto"/>
        <w:jc w:val="both"/>
      </w:pPr>
      <w:r>
        <w:rPr>
          <w:rFonts w:ascii="Times New Roman" w:hAnsi="Times New Roman"/>
          <w:sz w:val="19"/>
        </w:rPr>
        <w:t>Dense passage retrieval [2] maps questions and candidate documents into a shared continuous semantic space via dual-encoder architectures. While effective for single-fact lookups, dense retrieval frequently misses lexical exact-matches such as entity acronyms and numerical codes, leading to the resurgence of hybrid retrieval paradigms that combine dense vectors with BM25 Okapi [11] via Reciprocal Rank Fusion (RRF) [13]. Cross-encoder neural rerankers [14] further refine candidate pools by performing full token-level cross-attention over query-document pairs, yielding substantial precision gains at the cost of quadratic computational complexity.</w:t>
      </w:r>
    </w:p>
    <w:p>
      <w:pPr>
        <w:spacing w:before="0" w:after="80" w:line="259" w:lineRule="auto"/>
        <w:jc w:val="both"/>
      </w:pPr>
      <w:r>
        <w:rPr>
          <w:rFonts w:ascii="Times New Roman" w:hAnsi="Times New Roman"/>
          <w:sz w:val="19"/>
        </w:rPr>
        <w:t>For complex questions requiring multi-hop reasoning, single-pass retrieval often fails because the second supporting fact depends on entity links uncovered only in the first fact [4]. Iterative retrieval frameworks such as IRCoT [5] and DSP [6] address this by interleaving chain-of-thought generation with iterative retrieval calls. However, as Min et al. [20] observed, many multi-hop benchmark questions contain reasoning shortcuts where partial evidence suffices for answering, raising questions about whether iterative retrieval is always necessary.</w:t>
      </w:r>
    </w:p>
    <w:p>
      <w:pPr>
        <w:spacing w:before="0" w:after="80" w:line="259" w:lineRule="auto"/>
        <w:jc w:val="both"/>
      </w:pPr>
      <w:r>
        <w:rPr>
          <w:rFonts w:ascii="Times New Roman" w:hAnsi="Times New Roman"/>
          <w:sz w:val="19"/>
        </w:rPr>
        <w:t>Furthermore, empirical rigor and statistical testing remain inconsistently applied in recent NLP literature [21]. Studies frequently report point differences on small test sets without paired non-parametric significance testing. We adopt paired bootstrap resampling [15] and McNemar's test for binary paired outcomes [17], enforcing family-wise error rate control via the Holm-Bonferroni step-down procedure [16] to establish reproducible diagnostic baselines.</w:t>
      </w:r>
    </w:p>
    <w:p>
      <w:pPr>
        <w:keepNext/>
        <w:spacing w:before="160" w:after="50"/>
      </w:pPr>
      <w:r>
        <w:rPr>
          <w:rFonts w:ascii="Times New Roman" w:hAnsi="Times New Roman"/>
          <w:b/>
          <w:color w:val="002B49"/>
          <w:sz w:val="22"/>
        </w:rPr>
        <w:t>3. Methodology</w:t>
      </w:r>
    </w:p>
    <w:p>
      <w:pPr>
        <w:spacing w:before="0" w:after="80" w:line="259" w:lineRule="auto"/>
        <w:jc w:val="both"/>
      </w:pPr>
      <w:r>
        <w:rPr>
          <w:rFonts w:ascii="Times New Roman" w:hAnsi="Times New Roman"/>
          <w:sz w:val="19"/>
        </w:rP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statistical framework.</w:t>
      </w:r>
    </w:p>
    <w:p>
      <w:pPr>
        <w:keepNext/>
        <w:spacing w:before="160" w:after="50"/>
      </w:pPr>
      <w:r>
        <w:rPr>
          <w:rFonts w:ascii="Times New Roman" w:hAnsi="Times New Roman"/>
          <w:b/>
          <w:color w:val="1E293B"/>
          <w:sz w:val="20"/>
        </w:rPr>
        <w:t>3.1 Evaluation Benchmark and Corpus Construction</w:t>
      </w:r>
    </w:p>
    <w:p>
      <w:pPr>
        <w:spacing w:before="0" w:after="80" w:line="259" w:lineRule="auto"/>
        <w:jc w:val="both"/>
      </w:pPr>
      <w:r>
        <w:rPr>
          <w:rFonts w:ascii="Times New Roman" w:hAnsi="Times New Roman"/>
          <w:sz w:val="19"/>
        </w:rPr>
        <w:t>We construct our benchmark using the HotpotQA development set (distractor split) [4]. The full development set comprises 7,405 questions, each accompanied by two gold supporting passages and eight distractor paragraphs selected by TF-IDF similarity. To evaluate under a realistic open-retrieval setting without relying on external APIs, we construct a pooled local corpus of 19,260 unique passages by aggregating all context paragraphs associated with a fixed subset of 2,000 development questions (N_CORPUS = 2000, SEED = 42). Because distractor paragraphs in HotpotQA share high lexical overlap with the query entities, this pooled corpus provides an adversarial environment with severe distractor competition.</w:t>
      </w:r>
    </w:p>
    <w:p>
      <w:pPr>
        <w:spacing w:before="0" w:after="80" w:line="259" w:lineRule="auto"/>
        <w:jc w:val="both"/>
      </w:pPr>
      <w:r>
        <w:rPr>
          <w:rFonts w:ascii="Times New Roman" w:hAnsi="Times New Roman"/>
          <w:sz w:val="19"/>
        </w:rPr>
        <w:t>From this pooled corpus, we evaluate a fixed subset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pPr>
        <w:keepNext/>
        <w:spacing w:before="160" w:after="50"/>
      </w:pPr>
      <w:r>
        <w:rPr>
          <w:rFonts w:ascii="Times New Roman" w:hAnsi="Times New Roman"/>
          <w:b/>
          <w:color w:val="1E293B"/>
          <w:sz w:val="20"/>
        </w:rPr>
        <w:t>3.2 Evaluated System Configurations and Controlled Baselines</w:t>
      </w:r>
    </w:p>
    <w:p>
      <w:pPr>
        <w:spacing w:before="0" w:after="80" w:line="259" w:lineRule="auto"/>
        <w:jc w:val="both"/>
      </w:pPr>
      <w:r>
        <w:rPr>
          <w:rFonts w:ascii="Times New Roman" w:hAnsi="Times New Roman"/>
          <w:sz w:val="19"/>
        </w:rPr>
        <w:t>We examine thirteen distinct configurations, specifically formulated to isolate each component of the retrieval and generation stack:</w:t>
        <w:br/>
        <w:t>• S0 (Closed-Book Floor): Parametric knowledge alone; generator receives no context passages.</w:t>
        <w:br/>
        <w:t>• S1 (BM25 Okapi): Lexical sparse inverted indexing, returning top-5 passages [11].</w:t>
        <w:br/>
        <w:t>• S2 (Dense BGE-Small): Vector search via BAAI/bge-small-en-v1.5 (384-dim) with dot-product similarity, returning top-5 passages [12].</w:t>
        <w:br/>
        <w:t>• S3 (Hybrid RRF Fusion): Merges top-100 BM25 and top-100 dense candidates using Reciprocal Rank Fusion (k=60), returning top-5 passages without reranking [13].</w:t>
        <w:br/>
        <w:t>• S5 (Hybrid + Cross-Encoder Reranker): Initial hybrid pool of 25 candidates reranked via BAAI/bge-reranker-base, truncated to top-5 [14].</w:t>
        <w:br/>
        <w:t>• S5_Ctrl (Fair Pool-50 Single-Pass Control): Initial hybrid pool expanded to 50 candidates, reranked by the cross-encoder to top-5. This provides an exact capacity control for the two-hop pipeline, ensuring identical candidate search budgets (50 total candidates).</w:t>
        <w:br/>
        <w:t>• Ctrl_SinglePass_K10 (Context Budget Control): Unreranked hybrid retrieval fed directly to the reader at context budget K=10, evaluating whether expanding the reader's passage budget substitutes for neural reranking.</w:t>
        <w:br/>
        <w:t>• S7 (Dense Iterative Hop-2): Two-hop iterative retrieval using dense search alone. Hop 1 retrieves top-2 passages; Hop 2 queries the question concatenated with the first 200 characters of the Hop 1 text.</w:t>
        <w:br/>
        <w:t>• S8 (Staged Multi-Hop Pipeline): Our full reference staged architecture. Hop 1 retrieves 25 hybrid candidates. The top-2 passages (truncated to 200 characters) are appended to the query for Hop 2 (retrieving 25 candidates). The combined 50-candidate pool is deduplicated, reranked by the cross-encoder, and truncated to top-5.</w:t>
        <w:br/>
        <w:t>• S9 (Oracle Ceiling): Provides the generator with the ground-truth gold supporting passages, establishing the upper performance bound under perfect retrieval.</w:t>
        <w:br/>
        <w:t>• Abl_No_Reranker: Full S8 two-hop pipeline but bypassing the cross-encoder reranker, relying solely on RRF merge scores for top-5 truncation.</w:t>
        <w:br/>
        <w:t>• Abl_BM25_Only: Full S8 pipeline omitting dense retrieval (BM25 search alone across both hops, followed by cross-encoder reranking).</w:t>
        <w:br/>
        <w:t>• Abl_Dense_Only: Full S8 pipeline omitting BM25 retrieval (Dense search alone across both hops, followed by cross-encoder reranking).</w:t>
      </w:r>
    </w:p>
    <w:p>
      <w:pPr>
        <w:keepNext/>
        <w:spacing w:before="80" w:after="40"/>
        <w:jc w:val="center"/>
      </w:pPr>
      <w:r>
        <w:drawing>
          <wp:inline xmlns:a="http://schemas.openxmlformats.org/drawingml/2006/main" xmlns:pic="http://schemas.openxmlformats.org/drawingml/2006/picture">
            <wp:extent cx="3017520" cy="342112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3017520" cy="3421121"/>
                    </a:xfrm>
                    <a:prstGeom prst="rect"/>
                  </pic:spPr>
                </pic:pic>
              </a:graphicData>
            </a:graphic>
          </wp:inline>
        </w:drawing>
      </w:r>
    </w:p>
    <w:p>
      <w:pPr>
        <w:keepNext/>
        <w:spacing w:before="80" w:after="40"/>
        <w:jc w:val="left"/>
      </w:pPr>
      <w:r>
        <w:rPr>
          <w:rFonts w:ascii="Times New Roman" w:hAnsi="Times New Roman"/>
          <w:b/>
          <w:color w:val="002B49"/>
          <w:sz w:val="17"/>
        </w:rPr>
        <w:t>Figure 1. Architectural blueprint of the multi-stage staged RAG pipeline (S8) across dual-hop retrieval, cross-encoder reranking, and dual reader parameter scaling.</w:t>
      </w:r>
    </w:p>
    <w:p>
      <w:pPr>
        <w:keepNext/>
        <w:spacing w:before="160" w:after="50"/>
      </w:pPr>
      <w:r>
        <w:rPr>
          <w:rFonts w:ascii="Times New Roman" w:hAnsi="Times New Roman"/>
          <w:b/>
          <w:color w:val="1E293B"/>
          <w:sz w:val="20"/>
        </w:rPr>
        <w:t>3.3 Evaluation Metrics and Generation Protocol</w:t>
      </w:r>
    </w:p>
    <w:p>
      <w:pPr>
        <w:spacing w:before="0" w:after="80" w:line="259" w:lineRule="auto"/>
        <w:jc w:val="both"/>
      </w:pPr>
      <w:r>
        <w:rPr>
          <w:rFonts w:ascii="Times New Roman" w:hAnsi="Times New Roman"/>
          <w:sz w:val="19"/>
        </w:rPr>
        <w:t>Retrieval quality is measured across three primary dimensions at cut-off K=5: (i) Supporting Fact Recall (SF Recall@5), measuring the percentage of ground-truth facts retrieved; (ii) All Supporting Facts Recall (AllSF@5), a binary metric indicating whether all necessary gold supporting passages are simultaneously present in the top-K context; and (iii) Mean Reciprocal Rank (MRR) of the first retrieved gold passage.</w:t>
      </w:r>
    </w:p>
    <w:p>
      <w:pPr>
        <w:spacing w:before="0" w:after="80" w:line="259" w:lineRule="auto"/>
        <w:jc w:val="both"/>
      </w:pPr>
      <w:r>
        <w:rPr>
          <w:rFonts w:ascii="Times New Roman" w:hAnsi="Times New Roman"/>
          <w:sz w:val="19"/>
        </w:rP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[18] as our default reader, and Qwen2.5-7B-Instruct for our parameter scaling diagnostic. The reader prompt follows standard instruction formatting:</w:t>
        <w:br/>
        <w:t>'Answer the question concisely based only on the provided documents. Answer with just the entity name, number, or yes/no.</w:t>
        <w:br/>
        <w:br/>
        <w:t>Documents:</w:t>
        <w:br/>
        <w:t>[Context]</w:t>
        <w:br/>
        <w:br/>
        <w:t>Question: [Query]</w:t>
        <w:br/>
        <w:t>Answer:'</w:t>
      </w:r>
    </w:p>
    <w:p>
      <w:pPr>
        <w:keepNext/>
        <w:spacing w:before="160" w:after="50"/>
      </w:pPr>
      <w:r>
        <w:rPr>
          <w:rFonts w:ascii="Times New Roman" w:hAnsi="Times New Roman"/>
          <w:b/>
          <w:color w:val="1E293B"/>
          <w:sz w:val="20"/>
        </w:rPr>
        <w:t>3.4 Statistical Testing Protocol</w:t>
      </w:r>
    </w:p>
    <w:p>
      <w:pPr>
        <w:spacing w:before="0" w:after="80" w:line="259" w:lineRule="auto"/>
        <w:jc w:val="both"/>
      </w:pPr>
      <w:r>
        <w:rPr>
          <w:rFonts w:ascii="Times New Roman" w:hAnsi="Times New Roman"/>
          <w:sz w:val="19"/>
        </w:rPr>
        <w:t>We evaluate comparisons using two complementary non-parametric testing frameworks: (1) Paired bootstrap resampling with B=10,000 resamples [15] to estimate empirical percentile 95% confidence intervals and empirical p-values for AllSF and F1 differences; and (2) Continuity-corrected McNemar's test on binary 0/1 Exact Match outcomes [17]. For all test families, we enforce family-wise error rate control at alpha=0.05 using the Holm-Bonferroni step-down adjustment [16].</w:t>
      </w:r>
    </w:p>
    <w:p>
      <w:pPr>
        <w:keepNext/>
        <w:spacing w:before="160" w:after="50"/>
      </w:pPr>
      <w:r>
        <w:rPr>
          <w:rFonts w:ascii="Times New Roman" w:hAnsi="Times New Roman"/>
          <w:b/>
          <w:color w:val="002B49"/>
          <w:sz w:val="22"/>
        </w:rPr>
        <w:t>4. Experimental Results and Diagnostics</w:t>
      </w:r>
    </w:p>
    <w:p>
      <w:pPr>
        <w:spacing w:before="0" w:after="80" w:line="259" w:lineRule="auto"/>
        <w:jc w:val="both"/>
      </w:pPr>
      <w:r>
        <w:rPr>
          <w:rFonts w:ascii="Times New Roman" w:hAnsi="Times New Roman"/>
          <w:sz w:val="19"/>
        </w:rPr>
        <w:t>We present our empirical findings across nine subsections, tracking the performance of the pipeline from global error budgets down to manual failure categorizations.</w:t>
      </w:r>
    </w:p>
    <w:p>
      <w:pPr>
        <w:keepNext/>
        <w:spacing w:before="160" w:after="50"/>
      </w:pPr>
      <w:r>
        <w:rPr>
          <w:rFonts w:ascii="Times New Roman" w:hAnsi="Times New Roman"/>
          <w:b/>
          <w:color w:val="1E293B"/>
          <w:sz w:val="20"/>
        </w:rPr>
        <w:t>4.1 Stage-Wise Error Budget Decomposition (Table 1)</w:t>
      </w:r>
    </w:p>
    <w:p>
      <w:pPr>
        <w:spacing w:before="0" w:after="80" w:line="259" w:lineRule="auto"/>
        <w:jc w:val="both"/>
      </w:pPr>
      <w:r>
        <w:rPr>
          <w:rFonts w:ascii="Times New Roman" w:hAnsi="Times New Roman"/>
          <w:sz w:val="19"/>
        </w:rP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pPr>
        <w:keepNext/>
        <w:spacing w:before="80" w:after="40"/>
        <w:jc w:val="left"/>
      </w:pPr>
      <w:r>
        <w:rPr>
          <w:rFonts w:ascii="Times New Roman" w:hAnsi="Times New Roman"/>
          <w:b/>
          <w:color w:val="002B49"/>
          <w:sz w:val="17"/>
        </w:rPr>
        <w:t>Table 1. Stage-wise error budget decomposition of downstream performance deficits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 &amp; Component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Diagnostic Share</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Imperfect retrieval deficit</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47.00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39.80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Loss under perfect gold passages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(EM)</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21.9%</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17.1%</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&gt;78% deficit is reader-bound</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15.66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10.78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Distractor token overlap loss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24.90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Token overlap loss under gold</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(F1)</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32.0%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30.2%</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~70% deficit is reader-bound</w:t>
            </w:r>
          </w:p>
        </w:tc>
      </w:tr>
    </w:tbl>
    <w:p>
      <w:pPr>
        <w:spacing w:before="20" w:after="100"/>
        <w:jc w:val="left"/>
      </w:pPr>
      <w:r>
        <w:rPr>
          <w:rFonts w:ascii="Times New Roman" w:hAnsi="Times New Roman"/>
          <w:i/>
          <w:color w:val="555555"/>
          <w:sz w:val="15"/>
        </w:rPr>
        <w:t>Note: Retrieval share = Retrieval Loss / (Retrieval Loss + Reader Loss). Note that 'Retrieval loss' compares 2 clean oracle passages against 5 retrieved passages, mixing missing evidence with distractor noise.</w:t>
      </w:r>
    </w:p>
    <w:p>
      <w:pPr>
        <w:spacing w:before="0" w:after="80" w:line="259" w:lineRule="auto"/>
        <w:jc w:val="both"/>
      </w:pPr>
      <w:r>
        <w:rPr>
          <w:rFonts w:ascii="Times New Roman" w:hAnsi="Times New Roman"/>
          <w:sz w:val="19"/>
        </w:rP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 [18].</w:t>
      </w:r>
    </w:p>
    <w:p>
      <w:pPr>
        <w:keepNext/>
        <w:spacing w:before="160" w:after="50"/>
      </w:pPr>
      <w:r>
        <w:rPr>
          <w:rFonts w:ascii="Times New Roman" w:hAnsi="Times New Roman"/>
          <w:b/>
          <w:color w:val="1E293B"/>
          <w:sz w:val="20"/>
        </w:rPr>
        <w:t>4.2 End-to-End Pipeline Performance (Table 2 &amp; Figure 2)</w:t>
      </w:r>
    </w:p>
    <w:p>
      <w:pPr>
        <w:spacing w:before="0" w:after="80" w:line="259" w:lineRule="auto"/>
        <w:jc w:val="both"/>
      </w:pPr>
      <w:r>
        <w:rPr>
          <w:rFonts w:ascii="Times New Roman" w:hAnsi="Times New Roman"/>
          <w:sz w:val="19"/>
        </w:rPr>
        <w:t>Table 2 reports overall retrieval and downstream generation performance across the primary pipeline architectures and controlled baselines.</w:t>
      </w:r>
    </w:p>
    <w:p>
      <w:pPr>
        <w:keepNext/>
        <w:spacing w:before="80" w:after="40"/>
        <w:jc w:val="left"/>
      </w:pPr>
      <w:r>
        <w:rPr>
          <w:rFonts w:ascii="Times New Roman" w:hAnsi="Times New Roman"/>
          <w:b/>
          <w:color w:val="002B49"/>
          <w:sz w:val="17"/>
        </w:rPr>
        <w:t>Table 2. Multi-stage retrieval and downstream generation evaluation on HotpotQA (N=500, Context K=5, Qwen2.5-3B).</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System Configuration</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SF Rec</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MRR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S0: Closed-Book Floor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S1: BM25 Okapi</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0.84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30.80%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40.36%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S2: Dense BGE-Small</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47.11%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S3: Hybrid RRF Fusion</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67.20%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43.88%</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 Hybrid +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49.15%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 Fair Pool-50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Ctrl_SinglePass_K10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90.10%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48.44%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S7: Dense Iterative</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37.60%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49.20%</w:t>
            </w:r>
          </w:p>
        </w:tc>
      </w:tr>
      <w:tr>
        <w:tc>
          <w:tcPr>
            <w:tcW w:type="dxa" w:w="1440"/>
            <w:shd w:fill="EBF3FB"/>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Pipeline</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92.60%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0.97</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51.14%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 Oracle Ceiling</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Gold</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r>
    </w:tbl>
    <w:p>
      <w:pPr>
        <w:spacing w:before="20" w:after="100"/>
        <w:jc w:val="left"/>
      </w:pPr>
      <w:r>
        <w:rPr>
          <w:rFonts w:ascii="Times New Roman" w:hAnsi="Times New Roman"/>
          <w:i/>
          <w:color w:val="555555"/>
          <w:sz w:val="15"/>
        </w:rPr>
        <w:t>*Note on Ctrl_SinglePass_K10: AllSF evaluated at K=10. S8 achieves the highest EM among primary multi-stage configurations (39.80%).</w:t>
      </w:r>
    </w:p>
    <w:p>
      <w:pPr>
        <w:keepNext/>
        <w:spacing w:before="80" w:after="40"/>
        <w:jc w:val="center"/>
      </w:pPr>
      <w:r>
        <w:drawing>
          <wp:inline xmlns:a="http://schemas.openxmlformats.org/drawingml/2006/main" xmlns:pic="http://schemas.openxmlformats.org/drawingml/2006/picture">
            <wp:extent cx="3017520" cy="1794201"/>
            <wp:docPr id="2" name="Picture 2"/>
            <wp:cNvGraphicFramePr>
              <a:graphicFrameLocks noChangeAspect="1"/>
            </wp:cNvGraphicFramePr>
            <a:graphic>
              <a:graphicData uri="http://schemas.openxmlformats.org/drawingml/2006/picture">
                <pic:pic>
                  <pic:nvPicPr>
                    <pic:cNvPr id="0" name="fig1_ablation_barplot.png"/>
                    <pic:cNvPicPr/>
                  </pic:nvPicPr>
                  <pic:blipFill>
                    <a:blip r:embed="rId10"/>
                    <a:stretch>
                      <a:fillRect/>
                    </a:stretch>
                  </pic:blipFill>
                  <pic:spPr>
                    <a:xfrm>
                      <a:off x="0" y="0"/>
                      <a:ext cx="3017520" cy="1794201"/>
                    </a:xfrm>
                    <a:prstGeom prst="rect"/>
                  </pic:spPr>
                </pic:pic>
              </a:graphicData>
            </a:graphic>
          </wp:inline>
        </w:drawing>
      </w:r>
    </w:p>
    <w:p>
      <w:pPr>
        <w:keepNext/>
        <w:spacing w:before="80" w:after="40"/>
        <w:jc w:val="left"/>
      </w:pPr>
      <w:r>
        <w:rPr>
          <w:rFonts w:ascii="Times New Roman" w:hAnsi="Times New Roman"/>
          <w:b/>
          <w:color w:val="002B49"/>
          <w:sz w:val="17"/>
        </w:rPr>
        <w:t>Figure 2. AllSF@5 retrieval coverage across ablation configurations (untruncated 0-100% axis).</w:t>
      </w:r>
    </w:p>
    <w:p>
      <w:pPr>
        <w:spacing w:before="0" w:after="80" w:line="259" w:lineRule="auto"/>
        <w:jc w:val="both"/>
      </w:pPr>
      <w:r>
        <w:rPr>
          <w:rFonts w:ascii="Times New Roman" w:hAnsi="Times New Roman"/>
          <w:sz w:val="19"/>
        </w:rPr>
        <w:t>Across primary configurations, S8 establishes the highest AllSF@5 (85.60%), MRR (0.97), and Exact Match (39.80%). Across the eight retrieval systems in Table 2, AllSF and EM correlate strongly at r ≈ 0.97. However, the gains show clear diminishing returns: moving from BM25 (46.80% AllSF) to Dense (70.60% AllSF) increases EM by +6.00 pp. Beyond 70% AllSF, further retrieval gains yield much smaller downstream increases: adding +15.00 pp AllSF from Dense to S8 produces only +3.00 pp in EM.</w:t>
      </w:r>
    </w:p>
    <w:p>
      <w:pPr>
        <w:spacing w:before="0" w:after="80" w:line="259" w:lineRule="auto"/>
        <w:jc w:val="both"/>
      </w:pPr>
      <w:r>
        <w:rPr>
          <w:rFonts w:ascii="Times New Roman" w:hAnsi="Times New Roman"/>
          <w:sz w:val="19"/>
        </w:rPr>
        <w:t>Second, consider Ctrl_SinglePass_K10. By simply providing the generator with ten unreranked hybrid passages (K=10) instead of five reranked passages, the reader reaches 38.60% EM—virtually identical to the 38.80% achieved by neural reranking at K=5. Allocating a broader context budget to the reader circumvents the need for neural cross-encoder reranking on this corpus size.</w:t>
      </w:r>
    </w:p>
    <w:p>
      <w:pPr>
        <w:keepNext/>
        <w:spacing w:before="160" w:after="50"/>
      </w:pPr>
      <w:r>
        <w:rPr>
          <w:rFonts w:ascii="Times New Roman" w:hAnsi="Times New Roman"/>
          <w:b/>
          <w:color w:val="1E293B"/>
          <w:sz w:val="20"/>
        </w:rPr>
        <w:t>4.3 Marginal Gains of S8 over Baselines (Table 3)</w:t>
      </w:r>
    </w:p>
    <w:p>
      <w:pPr>
        <w:spacing w:before="0" w:after="80" w:line="259" w:lineRule="auto"/>
        <w:jc w:val="both"/>
      </w:pPr>
      <w:r>
        <w:rPr>
          <w:rFonts w:ascii="Times New Roman" w:hAnsi="Times New Roman"/>
          <w:sz w:val="19"/>
        </w:rPr>
        <w:t>Table 3 isolates the marginal net gains (Δ pp) of the full staged pipeline over each individual baseline.</w:t>
      </w:r>
    </w:p>
    <w:p>
      <w:pPr>
        <w:keepNext/>
        <w:spacing w:before="80" w:after="40"/>
        <w:jc w:val="left"/>
      </w:pPr>
      <w:r>
        <w:rPr>
          <w:rFonts w:ascii="Times New Roman" w:hAnsi="Times New Roman"/>
          <w:b/>
          <w:color w:val="002B49"/>
          <w:sz w:val="17"/>
        </w:rPr>
        <w:t>Table 3. Marginal point gains (Δ pp) of S8 over baseline systems with paired McNemar significance status.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Baseline System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McNemar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S1 (BM25)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Not tested m=6</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S2 (Dense)</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70.60%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+15.00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0.516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S3 (Hybrid)</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67.20%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+18.40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33.60%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0.0059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 (Rerank)</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S5_Ctrl</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S7 (Dense-2)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37.60%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bl>
    <w:p>
      <w:pPr>
        <w:spacing w:before="20" w:after="100"/>
        <w:jc w:val="left"/>
      </w:pPr>
      <w:r>
        <w:rPr>
          <w:rFonts w:ascii="Times New Roman" w:hAnsi="Times New Roman"/>
          <w:i/>
          <w:color w:val="555555"/>
          <w:sz w:val="15"/>
        </w:rPr>
        <w:t>Note: McNemar p-values are continuity-corrected and adjusted under the m=6 Holm family. Note that non-significant results reflect low statistical power on modest discordant counts (15–23 pairs) rather than confirmed zero effect.</w:t>
      </w:r>
    </w:p>
    <w:p>
      <w:pPr>
        <w:spacing w:before="0" w:after="80" w:line="259" w:lineRule="auto"/>
        <w:jc w:val="both"/>
      </w:pPr>
      <w:r>
        <w:rPr>
          <w:rFonts w:ascii="Times New Roman" w:hAnsi="Times New Roman"/>
          <w:sz w:val="19"/>
        </w:rPr>
        <w:t>S8 improves AllSF@5 by +15.00 pp over dense retrieval S2, yet downstream Exact Match improves by only +3.00 pp (from 36.80% to 39.80%). With 50 wins versus 35 losses (85 discordant pairs), this difference yields p_holm = 0.5156. We emphasize that a non-significant test does not prove the absence of an effect; rather, given the modest sample size (N=500) and small discordant margin, the study is underpowered to detect small single-digit downstream EM differences.</w:t>
      </w:r>
    </w:p>
    <w:p>
      <w:pPr>
        <w:keepNext/>
        <w:spacing w:before="160" w:after="50"/>
      </w:pPr>
      <w:r>
        <w:rPr>
          <w:rFonts w:ascii="Times New Roman" w:hAnsi="Times New Roman"/>
          <w:b/>
          <w:color w:val="1E293B"/>
          <w:sz w:val="20"/>
        </w:rPr>
        <w:t>4.4 Leave-One-Out Component Ablation on S8 (Table 4)</w:t>
      </w:r>
    </w:p>
    <w:p>
      <w:pPr>
        <w:spacing w:before="0" w:after="80" w:line="259" w:lineRule="auto"/>
        <w:jc w:val="both"/>
      </w:pPr>
      <w:r>
        <w:rPr>
          <w:rFonts w:ascii="Times New Roman" w:hAnsi="Times New Roman"/>
          <w:sz w:val="19"/>
        </w:rPr>
        <w:t>To determine which architectural components justify their computational overhead, we performed a leave-one-out ablation on S8 (Table 4).</w:t>
      </w:r>
    </w:p>
    <w:p>
      <w:pPr>
        <w:keepNext/>
        <w:spacing w:before="80" w:after="40"/>
        <w:jc w:val="left"/>
      </w:pPr>
      <w:r>
        <w:rPr>
          <w:rFonts w:ascii="Times New Roman" w:hAnsi="Times New Roman"/>
          <w:b/>
          <w:color w:val="002B49"/>
          <w:sz w:val="17"/>
        </w:rPr>
        <w:t>Table 4. Leave-one-out component ablation analysis on the staged multi-hop pipeline (S8 reference).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Ablation Variant</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Component Removed</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AllSF</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Score</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F1</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r>
      <w:tr>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Reference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None (Full Pipeline)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85.60%</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51.14%</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39.80%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Abl_No_Reranker</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Cross-Encoder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-22.60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45.82%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-5.32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35.80%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S5_Ctrl_Pool50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Hop 2 (Single-Pass)</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-2.80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-1.83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Abl_BM25_Only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Dense (BM25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80.40%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-5.20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51.39%</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+0.25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40.40%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Abl_Dense_Only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BM25 (Dense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+0.24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40.00%</w:t>
            </w:r>
          </w:p>
        </w:tc>
      </w:tr>
    </w:tbl>
    <w:p>
      <w:pPr>
        <w:spacing w:before="20" w:after="100"/>
        <w:jc w:val="left"/>
      </w:pPr>
      <w:r>
        <w:rPr>
          <w:rFonts w:ascii="Times New Roman" w:hAnsi="Times New Roman"/>
          <w:i/>
          <w:color w:val="555555"/>
          <w:sz w:val="15"/>
        </w:rPr>
        <w:t>Note: Reference S8 performance is 85.60% AllSF@5, 51.14% F1, and 39.80% EM. Negative Δ indicates degradation upon removal.</w:t>
      </w:r>
    </w:p>
    <w:p>
      <w:pPr>
        <w:spacing w:before="0" w:after="80" w:line="259" w:lineRule="auto"/>
        <w:jc w:val="both"/>
      </w:pPr>
      <w:r>
        <w:rPr>
          <w:rFonts w:ascii="Times New Roman" w:hAnsi="Times New Roman"/>
          <w:sz w:val="19"/>
        </w:rP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pPr>
        <w:spacing w:before="0" w:after="80" w:line="259" w:lineRule="auto"/>
        <w:jc w:val="both"/>
      </w:pPr>
      <w:r>
        <w:rPr>
          <w:rFonts w:ascii="Times New Roman" w:hAnsi="Times New Roman"/>
          <w:sz w:val="19"/>
        </w:rPr>
        <w:t>Second, look at Abl_Dense_Only: omitting BM25 entirely results in exactly 85.60% AllSF@5 (0.00 pp change) and a negligible +0.24 pp F1 change (40.00% EM). Dense retrieval alone, once paired with cross-encoder reranking, captures all necessary evidence; BM25 lexical fusion is completely redundant once neural reranking is in place. Conversely, omitting dense retrieval (Abl_BM25_Only) drops AllSF@5 by -5.20 pp, confirming that dense representations are necessary to bridge semantic vocabulary gaps.</w:t>
      </w:r>
    </w:p>
    <w:p>
      <w:pPr>
        <w:keepNext/>
        <w:spacing w:before="160" w:after="50"/>
      </w:pPr>
      <w:r>
        <w:rPr>
          <w:rFonts w:ascii="Times New Roman" w:hAnsi="Times New Roman"/>
          <w:b/>
          <w:color w:val="1E293B"/>
          <w:sz w:val="20"/>
        </w:rPr>
        <w:t>4.5 Paired Bootstrap Resampling Significance Analysis (Table 5)</w:t>
      </w:r>
    </w:p>
    <w:p>
      <w:pPr>
        <w:spacing w:before="0" w:after="80" w:line="259" w:lineRule="auto"/>
        <w:jc w:val="both"/>
      </w:pPr>
      <w:r>
        <w:rPr>
          <w:rFonts w:ascii="Times New Roman" w:hAnsi="Times New Roman"/>
          <w:sz w:val="19"/>
        </w:rPr>
        <w:t>To evaluate whether the observed point differences reflect genuine distributional separation, we executed paired bootstrap resampling (B=10,000 resamples) [15]. Table 5 presents the empirical percentile 95% confidence intervals and Holm-adjusted p-values across two families: Primary Retrieval Coverage (AllSF@5, m=8) and Downstream Token Overlap (F1, m=5).</w:t>
      </w:r>
    </w:p>
    <w:p>
      <w:pPr>
        <w:keepNext/>
        <w:spacing w:before="80" w:after="40"/>
        <w:jc w:val="left"/>
      </w:pPr>
      <w:r>
        <w:rPr>
          <w:rFonts w:ascii="Times New Roman" w:hAnsi="Times New Roman"/>
          <w:b/>
          <w:color w:val="002B49"/>
          <w:sz w:val="17"/>
        </w:rPr>
        <w:t>Table 5. Paired bootstrap hypothesis testing on S8 vs. alternative configurations (B=10,000, 95% CI, Holm-Bonferroni corrected).</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Metric</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Mean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95% Bootstrap CI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Sig.</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4"/>
              </w:rPr>
              <w:t>Family 1: Primary Retrieval Coverage (AllSF@5, m=8 tests; Raw p &lt; 0.0001 represents bootstrap floor)</w:t>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70.6%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[+11.2, +19.0]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67.2%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[+14.6, +22.2]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[+1.4, +4.8]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S7_Iterative_Dense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[+8.6, +17.0]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[+18.6, +26.8]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Abl_BM25_Only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 +7.4]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[+0.4, +5.2]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0.0240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0.0480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Borderline</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Abl_Dense_Only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[-2.0, +2.0]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4"/>
              </w:rPr>
              <w:t>Family 2: Downstream Token Overlap (F1 Score, m=5 tests)</w:t>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p>
            <w:pPr>
              <w:spacing w:before="30" w:after="30" w:line="252" w:lineRule="auto"/>
              <w:jc w:val="left"/>
            </w:pPr>
            <w:r>
              <w:rPr>
                <w:rFonts w:ascii="Times New Roman" w:hAnsi="Times New Roman"/>
                <w:b/>
                <w:sz w:val="14"/>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43.9%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 +10.7]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0.0005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45.8%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 +8.9]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0.0024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0.0096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49.2%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[+0.5, +3.6]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0.0210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47.1%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[+0.5, +7.6]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0.0280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0.0560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49.3%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[-0.1, +3.8]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0.0594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0.0594</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bl>
    <w:p>
      <w:pPr>
        <w:spacing w:before="20" w:after="100"/>
        <w:jc w:val="left"/>
      </w:pPr>
      <w:r>
        <w:rPr>
          <w:rFonts w:ascii="Times New Roman" w:hAnsi="Times New Roman"/>
          <w:i/>
          <w:color w:val="555555"/>
          <w:sz w:val="15"/>
        </w:rPr>
        <w:t>Note: Confidence intervals derived from empirical percentiles [2.5%, 97.5%]. Raw p &lt; 0.0001 represents the bootstrap floor 1/(B+1).</w:t>
      </w:r>
    </w:p>
    <w:p>
      <w:pPr>
        <w:spacing w:before="0" w:after="80" w:line="259" w:lineRule="auto"/>
        <w:jc w:val="both"/>
      </w:pPr>
      <w:r>
        <w:rPr>
          <w:rFonts w:ascii="Times New Roman" w:hAnsi="Times New Roman"/>
          <w:sz w:val="19"/>
        </w:rPr>
        <w:t>In Family 1 (AllSF@5), S8 demonstrates statistically significant retrieval superiority over unreranked baselines (S2, S3, S7) and Abl_No_Reranker (all p_holm = 0.0008). Against the fair Pool-50 single-pass control (S5_Ctrl), S8 achieves a small retrieval gain (+2.80 pp, 95% CI [+0.40, +5.20]). In Family 2 (F1 score), S8's token-overlap improvements over single-pass dense retrieval S2 (+4.03 pp, p_holm = 0.0560) and fair single-pass control S5_Ctrl (+1.83 pp, 95% CI [-0.08, +3.82], p_holm = 0.0594) both fail to achieve statistical significance.</w:t>
      </w:r>
    </w:p>
    <w:p>
      <w:pPr>
        <w:keepNext/>
        <w:spacing w:before="160" w:after="50"/>
      </w:pPr>
      <w:r>
        <w:rPr>
          <w:rFonts w:ascii="Times New Roman" w:hAnsi="Times New Roman"/>
          <w:b/>
          <w:color w:val="1E293B"/>
          <w:sz w:val="20"/>
        </w:rPr>
        <w:t>4.6 Confirmation via McNemar's Non-Parametric Paired Test (Table 6)</w:t>
      </w:r>
    </w:p>
    <w:p>
      <w:pPr>
        <w:spacing w:before="0" w:after="80" w:line="259" w:lineRule="auto"/>
        <w:jc w:val="both"/>
      </w:pPr>
      <w:r>
        <w:rPr>
          <w:rFonts w:ascii="Times New Roman" w:hAnsi="Times New Roman"/>
          <w:sz w:val="19"/>
        </w:rPr>
        <w:t>Because Exact Match is a binary 0/1 variable, paired t-tests can yield misleading inferences [17]. Table 6 reports continuity-corrected McNemar tests across all six EM comparison pairs, ordered by rank and corrected via Holm step-down [16].</w:t>
      </w:r>
    </w:p>
    <w:p>
      <w:pPr>
        <w:keepNext/>
        <w:spacing w:before="80" w:after="40"/>
        <w:jc w:val="left"/>
      </w:pPr>
      <w:r>
        <w:rPr>
          <w:rFonts w:ascii="Times New Roman" w:hAnsi="Times New Roman"/>
          <w:b/>
          <w:color w:val="002B49"/>
          <w:sz w:val="17"/>
        </w:rPr>
        <w:t>Table 6. McNemar's paired test on Exact Match (m=6 comparisons, continuity-corrected χ², Holm step-down).</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Rank (i)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Other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χ²</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Mult.</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Sig.</w:t>
            </w:r>
          </w:p>
        </w:tc>
      </w:tr>
      <w:tr>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4"/>
              </w:rPr>
              <w:t>1</w:t>
            </w:r>
          </w:p>
        </w:tc>
        <w:tc>
          <w:tcPr>
            <w:tcW w:type="dxa" w:w="11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4"/>
              </w:rPr>
              <w:t>S8 vs S3_Hybrid</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57</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26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10.84</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0.00099</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 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4"/>
              </w:rPr>
              <w:t>0.0059</w:t>
            </w:r>
          </w:p>
        </w:tc>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4"/>
              </w:rPr>
              <w:t>Yes</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2</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Abl_No_Reranker</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4.63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0.0315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 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0.1575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3</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S2_Dense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2.31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0.1289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 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0.5156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4</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S7_Iterative_Dense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0.2837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 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5</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S5_Hybrid_Rerank</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0.3017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 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6</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S8 vs S5_Ctrl_Pool50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0.4042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 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w:t>
            </w:r>
          </w:p>
        </w:tc>
      </w:tr>
    </w:tbl>
    <w:p>
      <w:pPr>
        <w:spacing w:before="20" w:after="100"/>
        <w:jc w:val="left"/>
      </w:pPr>
      <w:r>
        <w:rPr>
          <w:rFonts w:ascii="Times New Roman" w:hAnsi="Times New Roman"/>
          <w:i/>
          <w:color w:val="555555"/>
          <w:sz w:val="15"/>
        </w:rPr>
        <w:t>Note: Continuity correction (|b - c| - 1)^2 / (b + c) applied to discordant pairs. Multipliers enforce step-down Holm correction.</w:t>
      </w:r>
    </w:p>
    <w:p>
      <w:pPr>
        <w:spacing w:before="0" w:after="80" w:line="259" w:lineRule="auto"/>
        <w:jc w:val="both"/>
      </w:pPr>
      <w:r>
        <w:rPr>
          <w:rFonts w:ascii="Times New Roman" w:hAnsi="Times New Roman"/>
          <w:sz w:val="19"/>
        </w:rPr>
        <w:t>Across all six binary EM comparisons, S8 achieves a statistically significant accuracy gain solely against unreranked hybrid retrieval S3 (57 wins vs 26 losses, chi2=10.84, p_holm = 0.0059). Against Abl_No_Reranker, S8's raw p-value of 0.0315 is adjusted by the Holm multiplier to p_holm = 0.1575. Against dense retrieval S2, S8 produces 50 wins and 35 losses, yielding p_holm = 0.5156. Finally, against fair single-pass control S5_Ctrl, S8 produces 14 wins against 9 losses (a net advantage of 5 questions out of 500), yielding chi2=0.70 and p_holm = 0.8511.</w:t>
      </w:r>
    </w:p>
    <w:p>
      <w:pPr>
        <w:keepNext/>
        <w:spacing w:before="160" w:after="50"/>
      </w:pPr>
      <w:r>
        <w:rPr>
          <w:rFonts w:ascii="Times New Roman" w:hAnsi="Times New Roman"/>
          <w:b/>
          <w:color w:val="1E293B"/>
          <w:sz w:val="20"/>
        </w:rPr>
        <w:t>4.7 Multi-Retriever Depth Curves across K ∈ {5, 10, 25, 50} (Table 7 &amp; Figure 3)</w:t>
      </w:r>
    </w:p>
    <w:p>
      <w:pPr>
        <w:spacing w:before="0" w:after="80" w:line="259" w:lineRule="auto"/>
        <w:jc w:val="both"/>
      </w:pPr>
      <w:r>
        <w:rPr>
          <w:rFonts w:ascii="Times New Roman" w:hAnsi="Times New Roman"/>
          <w:sz w:val="19"/>
        </w:rPr>
        <w:t>To evaluate whether retrieval saturation occurs at deeper ranks, we analyze AllSF recall across depths K in {5, 10, 25, 50}, broken down by question type: Bridge (N=404) vs. Comparison (N=96) (Table 7).</w:t>
      </w:r>
    </w:p>
    <w:p>
      <w:pPr>
        <w:keepNext/>
        <w:spacing w:before="80" w:after="40"/>
        <w:jc w:val="left"/>
      </w:pPr>
      <w:r>
        <w:rPr>
          <w:rFonts w:ascii="Times New Roman" w:hAnsi="Times New Roman"/>
          <w:b/>
          <w:color w:val="002B49"/>
          <w:sz w:val="17"/>
        </w:rPr>
        <w:t>Table 7. Supporting facts recall curves across retrieval depths on the 19,260-passage corpus.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Retriever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Subgroup</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K=10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K=25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Saturation Behavior</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44.06%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60.64%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72.28%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77.72%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Missing lexical bridge tokens</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58.33%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75.00%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88.54%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94.79%</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High saturation at K=50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63.86%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74.50%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88.37%</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Beats Hybrid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98.96%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61.14%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76.73%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84.65%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88.12%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Underperforms Dense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97.92%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bl>
    <w:p>
      <w:pPr>
        <w:spacing w:before="20" w:after="100"/>
        <w:jc w:val="left"/>
      </w:pPr>
      <w:r>
        <w:rPr>
          <w:rFonts w:ascii="Times New Roman" w:hAnsi="Times New Roman"/>
          <w:i/>
          <w:color w:val="555555"/>
          <w:sz w:val="15"/>
        </w:rPr>
        <w:t>Note: Evaluated on partitioned subsets. Weighted average across subgroups matches Table 2 within 1.0 pp due to RRF score tie-breaking differences between subgroup runs and the combined pool.</w:t>
      </w:r>
    </w:p>
    <w:p>
      <w:pPr>
        <w:keepNext/>
        <w:spacing w:before="80" w:after="40"/>
        <w:jc w:val="center"/>
      </w:pPr>
      <w:r>
        <w:drawing>
          <wp:inline xmlns:a="http://schemas.openxmlformats.org/drawingml/2006/main" xmlns:pic="http://schemas.openxmlformats.org/drawingml/2006/picture">
            <wp:extent cx="3017520" cy="1810512"/>
            <wp:docPr id="3" name="Picture 3"/>
            <wp:cNvGraphicFramePr>
              <a:graphicFrameLocks noChangeAspect="1"/>
            </wp:cNvGraphicFramePr>
            <a:graphic>
              <a:graphicData uri="http://schemas.openxmlformats.org/drawingml/2006/picture">
                <pic:pic>
                  <pic:nvPicPr>
                    <pic:cNvPr id="0" name="fig3_depth_latency_tradeoff.png"/>
                    <pic:cNvPicPr/>
                  </pic:nvPicPr>
                  <pic:blipFill>
                    <a:blip r:embed="rId11"/>
                    <a:stretch>
                      <a:fillRect/>
                    </a:stretch>
                  </pic:blipFill>
                  <pic:spPr>
                    <a:xfrm>
                      <a:off x="0" y="0"/>
                      <a:ext cx="3017520" cy="1810512"/>
                    </a:xfrm>
                    <a:prstGeom prst="rect"/>
                  </pic:spPr>
                </pic:pic>
              </a:graphicData>
            </a:graphic>
          </wp:inline>
        </w:drawing>
      </w:r>
    </w:p>
    <w:p>
      <w:pPr>
        <w:keepNext/>
        <w:spacing w:before="80" w:after="40"/>
        <w:jc w:val="left"/>
      </w:pPr>
      <w:r>
        <w:rPr>
          <w:rFonts w:ascii="Times New Roman" w:hAnsi="Times New Roman"/>
          <w:b/>
          <w:color w:val="002B49"/>
          <w:sz w:val="17"/>
        </w:rPr>
        <w:t>Figure 3. Candidate depth recall trajectory for unreranked hybrid retrieval across K ∈ {5, 10, 25, 50}.</w:t>
      </w:r>
    </w:p>
    <w:p>
      <w:pPr>
        <w:spacing w:before="0" w:after="80" w:line="259" w:lineRule="auto"/>
        <w:jc w:val="both"/>
      </w:pPr>
      <w:r>
        <w:rPr>
          <w:rFonts w:ascii="Times New Roman" w:hAnsi="Times New Roman"/>
          <w:sz w:val="19"/>
        </w:rPr>
        <w:t>Table 7 reveals sharp behavioral divergences between query types. Comparison questions are straightforward for dense representations: Dense BGE-Small retrieves all supporting facts for 98.96% of comparison questions at K=5, and reaches 100.00% at K=10. This occurs because comparison questions explicitly name both entities in the prompt, allowing single-pass dense search to match both simultaneously [4].</w:t>
      </w:r>
    </w:p>
    <w:p>
      <w:pPr>
        <w:spacing w:before="0" w:after="80" w:line="259" w:lineRule="auto"/>
        <w:jc w:val="both"/>
      </w:pPr>
      <w:r>
        <w:rPr>
          <w:rFonts w:ascii="Times New Roman" w:hAnsi="Times New Roman"/>
          <w:sz w:val="19"/>
        </w:rPr>
        <w:t>Bridge questions, by contrast, exhibit a severe lexical bottleneck. BM25 reaches only 44.06% AllSF@5 on Bridge questions because the second fact's entity is unmentioned in the original prompt. Furthermore, Hybrid RRF underperforms Dense retrieval on Bridge questions at K=5 (61.14% vs 63.86%), as lexical fusion introduces keyword-heavy distractors.</w:t>
      </w:r>
    </w:p>
    <w:p>
      <w:pPr>
        <w:keepNext/>
        <w:spacing w:before="160" w:after="50"/>
      </w:pPr>
      <w:r>
        <w:rPr>
          <w:rFonts w:ascii="Times New Roman" w:hAnsi="Times New Roman"/>
          <w:b/>
          <w:color w:val="1E293B"/>
          <w:sz w:val="20"/>
        </w:rPr>
        <w:t>4.8 Evidence Recovery Funnel and Paired 2×2 Contingency (Table 8 &amp; Figure 4)</w:t>
      </w:r>
    </w:p>
    <w:p>
      <w:pPr>
        <w:spacing w:before="0" w:after="80" w:line="259" w:lineRule="auto"/>
        <w:jc w:val="both"/>
      </w:pPr>
      <w:r>
        <w:rPr>
          <w:rFonts w:ascii="Times New Roman" w:hAnsi="Times New Roman"/>
          <w:sz w:val="19"/>
        </w:rPr>
        <w:t>Where does the second supporting fact actually get captured? Table 8 tracks the evidence discovery funnel across the 500 questions, accompanied by the paired 2×2 contingency matrix against the fair single-pass control S5_Ctrl (Figure 4).</w:t>
      </w:r>
    </w:p>
    <w:p>
      <w:pPr>
        <w:keepNext/>
        <w:spacing w:before="80" w:after="40"/>
        <w:jc w:val="left"/>
      </w:pPr>
      <w:r>
        <w:rPr>
          <w:rFonts w:ascii="Times New Roman" w:hAnsi="Times New Roman"/>
          <w:b/>
          <w:color w:val="002B49"/>
          <w:sz w:val="17"/>
        </w:rPr>
        <w:t>Table 8. Multi-hop evidence recovery funnel across N=500 benchmark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Discovery Stage</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Count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Stage Meaning &amp; Bottleneck Mechanism</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Pool Capture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438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87.60%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gold facts discoverable in initial 25 hybrid pool</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2 Rescued Evidence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Fact 2 missing in Hop 1 pool; surfaced by iterative query</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Total Pool Capture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470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94.00%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Upper evidence ceiling captured across both pools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Top-5 Truncation Loss</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Lost during cross-encoder truncation (470 → 428)</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Never Retrieved Floor</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30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Neither hop retrieved both facts from corpus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S8 Top-5 Coverage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428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context fed to reader containing all facts</w:t>
            </w:r>
          </w:p>
        </w:tc>
      </w:tr>
    </w:tbl>
    <w:p>
      <w:pPr>
        <w:spacing w:before="20" w:after="100"/>
        <w:jc w:val="left"/>
      </w:pPr>
      <w:r>
        <w:rPr>
          <w:rFonts w:ascii="Times New Roman" w:hAnsi="Times New Roman"/>
          <w:i/>
          <w:color w:val="555555"/>
          <w:sz w:val="15"/>
        </w:rPr>
        <w:t>Note: Sum of Hop 1 (438) + Hop 2 Rescued (32) = 470 pool capture. Truncation loss drops pool to 428 final hits.</w:t>
      </w:r>
    </w:p>
    <w:p>
      <w:pPr>
        <w:keepNext/>
        <w:spacing w:before="80" w:after="40"/>
        <w:jc w:val="center"/>
      </w:pPr>
      <w:r>
        <w:drawing>
          <wp:inline xmlns:a="http://schemas.openxmlformats.org/drawingml/2006/main" xmlns:pic="http://schemas.openxmlformats.org/drawingml/2006/picture">
            <wp:extent cx="3017520" cy="2517454"/>
            <wp:docPr id="4" name="Picture 4"/>
            <wp:cNvGraphicFramePr>
              <a:graphicFrameLocks noChangeAspect="1"/>
            </wp:cNvGraphicFramePr>
            <a:graphic>
              <a:graphicData uri="http://schemas.openxmlformats.org/drawingml/2006/picture">
                <pic:pic>
                  <pic:nvPicPr>
                    <pic:cNvPr id="0" name="fig2_paired_contingency_matrix.png"/>
                    <pic:cNvPicPr/>
                  </pic:nvPicPr>
                  <pic:blipFill>
                    <a:blip r:embed="rId12"/>
                    <a:stretch>
                      <a:fillRect/>
                    </a:stretch>
                  </pic:blipFill>
                  <pic:spPr>
                    <a:xfrm>
                      <a:off x="0" y="0"/>
                      <a:ext cx="3017520" cy="2517454"/>
                    </a:xfrm>
                    <a:prstGeom prst="rect"/>
                  </pic:spPr>
                </pic:pic>
              </a:graphicData>
            </a:graphic>
          </wp:inline>
        </w:drawing>
      </w:r>
    </w:p>
    <w:p>
      <w:pPr>
        <w:keepNext/>
        <w:spacing w:before="80" w:after="40"/>
        <w:jc w:val="left"/>
      </w:pPr>
      <w:r>
        <w:rPr>
          <w:rFonts w:ascii="Times New Roman" w:hAnsi="Times New Roman"/>
          <w:b/>
          <w:color w:val="002B49"/>
          <w:sz w:val="17"/>
        </w:rPr>
        <w:t>Figure 4. Paired 2×2 evidence contingency matrix between S8 Staged and S5_Ctrl Pool-50 on AllSF@5.</w:t>
      </w:r>
    </w:p>
    <w:p>
      <w:pPr>
        <w:spacing w:before="0" w:after="80" w:line="259" w:lineRule="auto"/>
        <w:jc w:val="both"/>
      </w:pPr>
      <w:r>
        <w:rPr>
          <w:rFonts w:ascii="Times New Roman" w:hAnsi="Times New Roman"/>
          <w:sz w:val="19"/>
        </w:rPr>
        <w:t>To inspect the exact paired behavior of Hop-2 retrieval, consider the 2×2 contingency matrix against S5_Ctrl Pool-50 (Figure 4):</w:t>
        <w:br/>
        <w:t>• Both Hit (S8=1, Ctrl=1): 402 questions (80.40%)</w:t>
        <w:br/>
        <w:t>• S8 Pipeline Win (S8=1, Ctrl=0): 26 questions (5.20%)</w:t>
        <w:br/>
        <w:t>• S5_Ctrl Control Win (S8=0, Ctrl=1): 12 questions (2.40%)</w:t>
        <w:br/>
        <w:t>• Neither Hit (S8=0, Ctrl=0): 60 questions (12.00%)</w:t>
        <w:br/>
        <w:t>Total Hits: S8 = 402 + 26 = 428 (85.60%); S5_Ctrl = 402 + 12 = 414 (82.80%).</w:t>
      </w:r>
    </w:p>
    <w:p>
      <w:pPr>
        <w:spacing w:before="0" w:after="80" w:line="259" w:lineRule="auto"/>
        <w:jc w:val="both"/>
      </w:pPr>
      <w:r>
        <w:rPr>
          <w:rFonts w:ascii="Times New Roman" w:hAnsi="Times New Roman"/>
          <w:sz w:val="19"/>
        </w:rPr>
        <w:t>This paired breakdown shows that while S8 gains 26 questions where Hop 2 successfully surfaced Fact 2, it simultaneously degrades 12 questions that S5_Ctrl captured cleanly. In those 12 cases, the iterative query introduced irrelevant distractor passages that displaced gold facts during reranking. The net paired gain is exactly 26 − 12 = +14 questions (+2.80 pp).</w:t>
      </w:r>
    </w:p>
    <w:p>
      <w:pPr>
        <w:keepNext/>
        <w:spacing w:before="160" w:after="50"/>
      </w:pPr>
      <w:r>
        <w:rPr>
          <w:rFonts w:ascii="Times New Roman" w:hAnsi="Times New Roman"/>
          <w:b/>
          <w:color w:val="1E293B"/>
          <w:sz w:val="20"/>
        </w:rPr>
        <w:t>4.9 Generator Capacity Diagnostic: 3B vs. 7B Parameter Scaling (Table 9 &amp; Figure 5)</w:t>
      </w:r>
    </w:p>
    <w:p>
      <w:pPr>
        <w:spacing w:before="0" w:after="80" w:line="259" w:lineRule="auto"/>
        <w:jc w:val="both"/>
      </w:pPr>
      <w:r>
        <w:rPr>
          <w:rFonts w:ascii="Times New Roman" w:hAnsi="Times New Roman"/>
          <w:sz w:val="19"/>
        </w:rPr>
        <w:t>To test whether downstream accuracy is constrained by retrieved evidence or reader reasoning capacity, we scaled the generator from Qwen2.5-3B to Qwen2.5-7B [18], evaluating both models on identical retrieved contexts (Table 9).</w:t>
      </w:r>
    </w:p>
    <w:p>
      <w:pPr>
        <w:keepNext/>
        <w:spacing w:before="80" w:after="40"/>
        <w:jc w:val="left"/>
      </w:pPr>
      <w:r>
        <w:rPr>
          <w:rFonts w:ascii="Times New Roman" w:hAnsi="Times New Roman"/>
          <w:b/>
          <w:color w:val="002B49"/>
          <w:sz w:val="17"/>
        </w:rPr>
        <w:t>Table 9. Generator capacity diagnostic: Paired comparison of 3B vs. 7B reader scaling on identical contexts.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Comparison Pair</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Fed</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Net Gain</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95% Bootstrap CI</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Holm p</w:t>
            </w:r>
          </w:p>
        </w:tc>
      </w:tr>
      <w:tr>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S8_7B vs S8_3B</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Retrieved Passages</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EM</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52.00%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+12.20 pp</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[+8.20, +16.20]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S8_7B vs S8_3B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 Retrieved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51.14%</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64.32%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+13.18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[+9.64, +16.80]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[+3.60, +10.80]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75.10%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+8.30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 +11.55]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bl>
    <w:p>
      <w:pPr>
        <w:spacing w:before="20" w:after="100"/>
        <w:jc w:val="left"/>
      </w:pPr>
      <w:r>
        <w:rPr>
          <w:rFonts w:ascii="Times New Roman" w:hAnsi="Times New Roman"/>
          <w:i/>
          <w:color w:val="555555"/>
          <w:sz w:val="15"/>
        </w:rPr>
        <w:t>Note: Evaluated across N=500 questions. Both 3B and 7B models evaluated on identical retrieved passage lists.</w:t>
      </w:r>
    </w:p>
    <w:p>
      <w:pPr>
        <w:keepNext/>
        <w:spacing w:before="80" w:after="40"/>
        <w:jc w:val="center"/>
      </w:pPr>
      <w:r>
        <w:drawing>
          <wp:inline xmlns:a="http://schemas.openxmlformats.org/drawingml/2006/main" xmlns:pic="http://schemas.openxmlformats.org/drawingml/2006/picture">
            <wp:extent cx="3017520" cy="1939834"/>
            <wp:docPr id="5" name="Picture 5"/>
            <wp:cNvGraphicFramePr>
              <a:graphicFrameLocks noChangeAspect="1"/>
            </wp:cNvGraphicFramePr>
            <a:graphic>
              <a:graphicData uri="http://schemas.openxmlformats.org/drawingml/2006/picture">
                <pic:pic>
                  <pic:nvPicPr>
                    <pic:cNvPr id="0" name="fig4_noise_decay_curves.png"/>
                    <pic:cNvPicPr/>
                  </pic:nvPicPr>
                  <pic:blipFill>
                    <a:blip r:embed="rId13"/>
                    <a:stretch>
                      <a:fillRect/>
                    </a:stretch>
                  </pic:blipFill>
                  <pic:spPr>
                    <a:xfrm>
                      <a:off x="0" y="0"/>
                      <a:ext cx="3017520" cy="1939834"/>
                    </a:xfrm>
                    <a:prstGeom prst="rect"/>
                  </pic:spPr>
                </pic:pic>
              </a:graphicData>
            </a:graphic>
          </wp:inline>
        </w:drawing>
      </w:r>
    </w:p>
    <w:p>
      <w:pPr>
        <w:keepNext/>
        <w:spacing w:before="80" w:after="40"/>
        <w:jc w:val="left"/>
      </w:pPr>
      <w:r>
        <w:rPr>
          <w:rFonts w:ascii="Times New Roman" w:hAnsi="Times New Roman"/>
          <w:b/>
          <w:color w:val="002B49"/>
          <w:sz w:val="17"/>
        </w:rPr>
        <w:t>Figure 5. Downstream Exact Match and F1 score scaling across 3B and 7B reader generators.</w:t>
      </w:r>
    </w:p>
    <w:p>
      <w:pPr>
        <w:spacing w:before="0" w:after="80" w:line="259" w:lineRule="auto"/>
        <w:jc w:val="both"/>
      </w:pPr>
      <w:r>
        <w:rPr>
          <w:rFonts w:ascii="Times New Roman" w:hAnsi="Times New Roman"/>
          <w:sz w:val="19"/>
        </w:rPr>
        <w:t>Table 9 presents the most substantial performance change in this study. When evaluated on the exact same retrieved evidence from S8, scaling the reader from 3B to 7B increases Exact Match by +12.20 pp (from 39.80% to 52.00%, p_holm = 0.0004) and F1 by +13.18 pp (from 51.14% to 64.32%). On identical evidence, the 7B reader reaches 52.00% EM, comparable to the 3B reader's gold-evidence score of 53.00% EM.</w:t>
      </w:r>
    </w:p>
    <w:p>
      <w:pPr>
        <w:spacing w:before="0" w:after="80" w:line="259" w:lineRule="auto"/>
        <w:jc w:val="both"/>
      </w:pPr>
      <w:r>
        <w:rPr>
          <w:rFonts w:ascii="Times New Roman" w:hAnsi="Times New Roman"/>
          <w:sz w:val="19"/>
        </w:rPr>
        <w:t>We note an important caveat: part of this +12.20 pp increase may stem from superior adherence to concise formatting instructions rather than pure multi-hop reasoning. As detailed in our error analysis, 36.70% of 3B errors are surface-form artifacts; larger models often follow output constraints more reliably, partially mitigating formatting penalties.</w:t>
      </w:r>
    </w:p>
    <w:p>
      <w:pPr>
        <w:keepNext/>
        <w:spacing w:before="160" w:after="50"/>
      </w:pPr>
      <w:r>
        <w:rPr>
          <w:rFonts w:ascii="Times New Roman" w:hAnsi="Times New Roman"/>
          <w:b/>
          <w:color w:val="1E293B"/>
          <w:sz w:val="20"/>
        </w:rPr>
        <w:t>4.10 Computational Latency Profiling (Table 10)</w:t>
      </w:r>
    </w:p>
    <w:p>
      <w:pPr>
        <w:spacing w:before="0" w:after="80" w:line="259" w:lineRule="auto"/>
        <w:jc w:val="both"/>
      </w:pPr>
      <w:r>
        <w:rPr>
          <w:rFonts w:ascii="Times New Roman" w:hAnsi="Times New Roman"/>
          <w:sz w:val="19"/>
        </w:rPr>
        <w:t>Table 10 benchmarks the runtime latency and throughput of each retrieval stack module on dual NVIDIA Tesla T4 GPUs (measured across 30 queries after 5 warm-up queries).</w:t>
      </w:r>
    </w:p>
    <w:p>
      <w:pPr>
        <w:keepNext/>
        <w:spacing w:before="80" w:after="40"/>
        <w:jc w:val="left"/>
      </w:pPr>
      <w:r>
        <w:rPr>
          <w:rFonts w:ascii="Times New Roman" w:hAnsi="Times New Roman"/>
          <w:b/>
          <w:color w:val="002B49"/>
          <w:sz w:val="17"/>
        </w:rPr>
        <w:t>Table 10. Computational latency and throughput profiling of retrieval modules on dual NVIDIA Tesla T4 GPUs.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Retrieval Stage Module</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Underlying Technology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Mean Latency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Throughput</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Stack Share</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Dense Embedding Search</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BAAI/bge-small-en-v1.5 + Dot Product</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0.0139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71.9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BM25 Sparse Retrieval</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RankBM25 Okapi (Inverted Index)</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0.0724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13.8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11.0%</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Hybrid RRF Fusion</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Reciprocal Rank Fusion (k=60)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0.1169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Cross-Encoder Reranker</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BAAI/bge-reranker-base (max_len=256)</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0.4560 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2.2 qps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69.1% (Dominant)</w:t>
            </w:r>
          </w:p>
        </w:tc>
      </w:tr>
    </w:tbl>
    <w:p>
      <w:pPr>
        <w:spacing w:before="20" w:after="100"/>
        <w:jc w:val="left"/>
      </w:pPr>
      <w:r>
        <w:rPr>
          <w:rFonts w:ascii="Times New Roman" w:hAnsi="Times New Roman"/>
          <w:i/>
          <w:color w:val="555555"/>
          <w:sz w:val="15"/>
        </w:rPr>
        <w:t>Note: Profiles retrieval stack exclusively. Reader generation adds ~0.45 s/query for 3B and ~0.91 s/query for 7B.</w:t>
      </w:r>
    </w:p>
    <w:p>
      <w:pPr>
        <w:spacing w:before="0" w:after="80" w:line="259" w:lineRule="auto"/>
        <w:jc w:val="both"/>
      </w:pPr>
      <w:r>
        <w:rPr>
          <w:rFonts w:ascii="Times New Roman" w:hAnsi="Times New Roman"/>
          <w:sz w:val="19"/>
        </w:rP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significant computational costs [14]. Reader generation adds an additional ~0.45 s for 3B and ~0.91 s for 7B.</w:t>
      </w:r>
    </w:p>
    <w:p>
      <w:pPr>
        <w:keepNext/>
        <w:spacing w:before="160" w:after="50"/>
      </w:pPr>
      <w:r>
        <w:rPr>
          <w:rFonts w:ascii="Times New Roman" w:hAnsi="Times New Roman"/>
          <w:b/>
          <w:color w:val="1E293B"/>
          <w:sz w:val="20"/>
        </w:rPr>
        <w:t>4.11 Qualitative Error Analysis (Table 11 &amp; Figure 6)</w:t>
      </w:r>
    </w:p>
    <w:p>
      <w:pPr>
        <w:spacing w:before="0" w:after="80" w:line="259" w:lineRule="auto"/>
        <w:jc w:val="both"/>
      </w:pPr>
      <w:r>
        <w:rPr>
          <w:rFonts w:ascii="Times New Roman" w:hAnsi="Times New Roman"/>
          <w:sz w:val="19"/>
        </w:rPr>
        <w:t>To examine why downstream generation stalls even when supporting facts are retrieved, we conducted a manual audit of 60 randomly sampled failure cases from S8 (Table 11), computing Wilson score 95% confidence intervals [22].</w:t>
      </w:r>
    </w:p>
    <w:p>
      <w:pPr>
        <w:keepNext/>
        <w:spacing w:before="80" w:after="40"/>
        <w:jc w:val="left"/>
      </w:pPr>
      <w:r>
        <w:rPr>
          <w:rFonts w:ascii="Times New Roman" w:hAnsi="Times New Roman"/>
          <w:b/>
          <w:color w:val="002B49"/>
          <w:sz w:val="17"/>
        </w:rPr>
        <w:t>Table 11. Hand-verified qualitative error breakdown across N=60 randomly sampled S8 failure cases.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Failure Category Tag</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Freq.</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Wilson 95% CI</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Primary Failure Mechanism</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Format / Metric Artifact</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22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36.70%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[25.5%, 49.3%]</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Semantically correct entity penalized by exact match string formatting</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Reasoning Failure under Evidence</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19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31.70%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[21.2%, 44.2%]</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Gold evidence in prompt; 3B model fails logical constraint deduction</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Retrieval Gap (Missing Fact 2)</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21.70%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[13.1%, 33.6%]</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retrieved Fact 1, but Hop 2 query failed to bridge to Fact 2</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Span Extraction Error</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6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[4.7%, 20.1%]</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facts retrieved; generator extracted adjacent distractor entity</w:t>
            </w:r>
          </w:p>
        </w:tc>
      </w:tr>
    </w:tbl>
    <w:p>
      <w:pPr>
        <w:spacing w:before="20" w:after="100"/>
        <w:jc w:val="left"/>
      </w:pPr>
      <w:r>
        <w:rPr>
          <w:rFonts w:ascii="Times New Roman" w:hAnsi="Times New Roman"/>
          <w:i/>
          <w:color w:val="555555"/>
          <w:sz w:val="15"/>
        </w:rPr>
        <w:t>Note: Evaluated under single-annotator blind verification. Categories are mutually exclusive and sum to 100%.</w:t>
      </w:r>
    </w:p>
    <w:p>
      <w:pPr>
        <w:keepNext/>
        <w:spacing w:before="80" w:after="40"/>
        <w:jc w:val="center"/>
      </w:pPr>
      <w:r>
        <w:drawing>
          <wp:inline xmlns:a="http://schemas.openxmlformats.org/drawingml/2006/main" xmlns:pic="http://schemas.openxmlformats.org/drawingml/2006/picture">
            <wp:extent cx="3017520" cy="1939834"/>
            <wp:docPr id="6" name="Picture 6"/>
            <wp:cNvGraphicFramePr>
              <a:graphicFrameLocks noChangeAspect="1"/>
            </wp:cNvGraphicFramePr>
            <a:graphic>
              <a:graphicData uri="http://schemas.openxmlformats.org/drawingml/2006/picture">
                <pic:pic>
                  <pic:nvPicPr>
                    <pic:cNvPr id="0" name="fig5_evidence_discovery_curves.png"/>
                    <pic:cNvPicPr/>
                  </pic:nvPicPr>
                  <pic:blipFill>
                    <a:blip r:embed="rId14"/>
                    <a:stretch>
                      <a:fillRect/>
                    </a:stretch>
                  </pic:blipFill>
                  <pic:spPr>
                    <a:xfrm>
                      <a:off x="0" y="0"/>
                      <a:ext cx="3017520" cy="1939834"/>
                    </a:xfrm>
                    <a:prstGeom prst="rect"/>
                  </pic:spPr>
                </pic:pic>
              </a:graphicData>
            </a:graphic>
          </wp:inline>
        </w:drawing>
      </w:r>
    </w:p>
    <w:p>
      <w:pPr>
        <w:keepNext/>
        <w:spacing w:before="80" w:after="40"/>
        <w:jc w:val="left"/>
      </w:pPr>
      <w:r>
        <w:rPr>
          <w:rFonts w:ascii="Times New Roman" w:hAnsi="Times New Roman"/>
          <w:b/>
          <w:color w:val="002B49"/>
          <w:sz w:val="17"/>
        </w:rPr>
        <w:t>Figure 6. Supporting facts recall depth curves across Bridge (N=404) and Comparison (N=96) subgroups.</w:t>
      </w:r>
    </w:p>
    <w:p>
      <w:pPr>
        <w:spacing w:before="0" w:after="80" w:line="259" w:lineRule="auto"/>
        <w:jc w:val="both"/>
      </w:pPr>
      <w:r>
        <w:rPr>
          <w:rFonts w:ascii="Times New Roman" w:hAnsi="Times New Roman"/>
          <w:sz w:val="19"/>
        </w:rPr>
        <w:t>Over a third of sampled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failures occur on the reader side. Actual retrieval failures (Missing Fact 2) account for 21.70% of errors.</w:t>
      </w:r>
    </w:p>
    <w:p>
      <w:pPr>
        <w:keepNext/>
        <w:spacing w:before="160" w:after="50"/>
      </w:pPr>
      <w:r>
        <w:rPr>
          <w:rFonts w:ascii="Times New Roman" w:hAnsi="Times New Roman"/>
          <w:b/>
          <w:color w:val="002B49"/>
          <w:sz w:val="22"/>
        </w:rPr>
        <w:t>5. Discussion</w:t>
      </w:r>
    </w:p>
    <w:p>
      <w:pPr>
        <w:spacing w:before="0" w:after="80" w:line="259" w:lineRule="auto"/>
        <w:jc w:val="both"/>
      </w:pPr>
      <w:r>
        <w:rPr>
          <w:rFonts w:ascii="Times New Roman" w:hAnsi="Times New Roman"/>
          <w:sz w:val="19"/>
        </w:rPr>
        <w:t>Synthesizing these empirical analyses reveals that retrieval coverage and downstream answer accuracy exhibit pronounced diminishing returns. While AllSF and EM correlate strongly across baselines (r ≈ 0.97), gains beyond 70% AllSF yield sharply compressed downstream benefits [8, 10].</w:t>
      </w:r>
    </w:p>
    <w:p>
      <w:pPr>
        <w:spacing w:before="0" w:after="80" w:line="259" w:lineRule="auto"/>
        <w:jc w:val="both"/>
      </w:pPr>
      <w:r>
        <w:rPr>
          <w:rFonts w:ascii="Times New Roman" w:hAnsi="Times New Roman"/>
          <w:sz w:val="19"/>
        </w:rPr>
        <w:t>Throughout our experiments, neural cross-encoder reranking consistently emerges as the dominant retrieval lever, contributing +15.40 pp in AllSF@5. Iterative second-hop retrieval contributes an incremental +2.80 pp AllSF gain over fair single-pass controls, which fails to produce a statistically detectable improvement in downstream Exact Match (p_holm = 0.8511). As demonstrated in our 2×2 contingency analysis, the 26 questions gained by Hop 2 are partially counterbalanced by 12 questions degraded by query noise.</w:t>
      </w:r>
    </w:p>
    <w:p>
      <w:pPr>
        <w:spacing w:before="0" w:after="80" w:line="259" w:lineRule="auto"/>
        <w:jc w:val="both"/>
      </w:pPr>
      <w:r>
        <w:rPr>
          <w:rFonts w:ascii="Times New Roman" w:hAnsi="Times New Roman"/>
          <w:sz w:val="19"/>
        </w:rPr>
        <w:t>Meanwhile, generator parameterization exerts an overwhelming influence. Scaling from a 3B to a 7B reader model on identical retrieved passages produces a +12.20 pp jump in Exact Match. Coupled with our error breakdown showing that 36.70% of failures are string-matching artifacts, we conclude that future research in multi-hop QA should focus on reader reasoning capabilities, context distillation, and metric normalization rather than engineering increasingly intricate retrieval loops [23].</w:t>
      </w:r>
    </w:p>
    <w:p>
      <w:pPr>
        <w:keepNext/>
        <w:spacing w:before="160" w:after="50"/>
      </w:pPr>
      <w:r>
        <w:rPr>
          <w:rFonts w:ascii="Times New Roman" w:hAnsi="Times New Roman"/>
          <w:b/>
          <w:color w:val="002B49"/>
          <w:sz w:val="22"/>
        </w:rPr>
        <w:t>6. Limitations</w:t>
      </w:r>
    </w:p>
    <w:p>
      <w:pPr>
        <w:spacing w:before="0" w:after="80" w:line="259" w:lineRule="auto"/>
        <w:jc w:val="both"/>
      </w:pPr>
      <w:r>
        <w:rPr>
          <w:rFonts w:ascii="Times New Roman" w:hAnsi="Times New Roman"/>
          <w:sz w:val="19"/>
        </w:rPr>
        <w:t>We note several concrete methodological limitations of this study:</w:t>
        <w:br/>
        <w:t>1. Corpus Construction: Our evaluation index comprises 19,260 passages constructed by pooling gold and distractor paragraphs from the HotpotQA development set [4]. While challenging due to dense distractor competition, this corpus is substantially smaller than full 5-million-page Wikipedia dumps, where retrieval dilution may follow different scaling dynamics.</w:t>
        <w:br/>
        <w:t>2. Subgroup Sample Size: All evaluations were conducted on a single fixed subset of 500 questions (N=500). While sufficient to power paired testing across the full set, the 96 comparison questions represent a relatively small sample, meaning subtle subgroup differences may be underpowered.</w:t>
        <w:br/>
        <w:t>3. Generator Architecture: Experiments were restricted to the Qwen2.5 open-weights series (3B and 7B) [18]. While representative of modern dense instruct models, we cannot entirely rule out potential pre-training exposure to HotpotQA text.</w:t>
        <w:br/>
        <w:t>4. Single-Annotator Error Audit: Our qualitative analysis of 60 failure cases was hand-verified by a single annotator; consequently, inter-annotator agreement (e.g., Cohen's kappa) could not be calculated.</w:t>
        <w:br/>
        <w:t>5. Metric Constraints: We adhered to standard HotpotQA Exact Match and token F1 metrics. Evaluating alias-aware or model-based semantic evaluation metrics was beyond the scope of this study.</w:t>
      </w:r>
    </w:p>
    <w:p>
      <w:pPr>
        <w:keepNext/>
        <w:spacing w:before="160" w:after="50"/>
      </w:pPr>
      <w:r>
        <w:rPr>
          <w:rFonts w:ascii="Times New Roman" w:hAnsi="Times New Roman"/>
          <w:b/>
          <w:color w:val="002B49"/>
          <w:sz w:val="22"/>
        </w:rPr>
        <w:t>7. Conclusion</w:t>
      </w:r>
    </w:p>
    <w:p>
      <w:pPr>
        <w:spacing w:before="0" w:after="80" w:line="259" w:lineRule="auto"/>
        <w:jc w:val="both"/>
      </w:pPr>
      <w:r>
        <w:rPr>
          <w:rFonts w:ascii="Times New Roman" w:hAnsi="Times New Roman"/>
          <w:sz w:val="19"/>
        </w:rP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pPr>
        <w:keepNext/>
        <w:spacing w:before="160" w:after="50"/>
      </w:pPr>
      <w:r>
        <w:rPr>
          <w:rFonts w:ascii="Times New Roman" w:hAnsi="Times New Roman"/>
          <w:b/>
          <w:color w:val="002B49"/>
          <w:sz w:val="22"/>
        </w:rPr>
        <w:t>References</w:t>
      </w:r>
    </w:p>
    <w:p>
      <w:pPr>
        <w:spacing w:before="30" w:after="50" w:line="245" w:lineRule="auto"/>
        <w:ind w:left="360" w:hanging="360"/>
      </w:pPr>
      <w:r>
        <w:rPr>
          <w:rFonts w:ascii="Times New Roman" w:hAnsi="Times New Roman"/>
          <w:sz w:val="16"/>
        </w:rPr>
        <w:t>[1] Lewis, P., Perez, E., Piktus, A., Petroni, F., Karpukhin, V., Goyal, N., ... &amp; Kiela, D. (2020). Retrieval-augmented generation for knowledge-intensive NLP tasks. Advances in Neural Information Processing Systems, 33, 9459-9474.</w:t>
      </w:r>
    </w:p>
    <w:p>
      <w:pPr>
        <w:spacing w:before="30" w:after="50" w:line="245" w:lineRule="auto"/>
        <w:ind w:left="360" w:hanging="360"/>
      </w:pPr>
      <w:r>
        <w:rPr>
          <w:rFonts w:ascii="Times New Roman" w:hAnsi="Times New Roman"/>
          <w:sz w:val="16"/>
        </w:rPr>
        <w:t>[2] Karpukhin, V., Oguz, B., Min, S., Lewis, P., Wu, L., Edunov, S., Chen, D., &amp; Yih, W. T. (2020). Dense passage retrieval for open-domain question answering. In Proceedings of the 2020 Conference on Empirical Methods in Natural Language Processing (EMNLP), 6769-6781.</w:t>
      </w:r>
    </w:p>
    <w:p>
      <w:pPr>
        <w:spacing w:before="30" w:after="50" w:line="245" w:lineRule="auto"/>
        <w:ind w:left="360" w:hanging="360"/>
      </w:pPr>
      <w:r>
        <w:rPr>
          <w:rFonts w:ascii="Times New Roman" w:hAnsi="Times New Roman"/>
          <w:sz w:val="16"/>
        </w:rPr>
        <w:t>[3] Shuster, K., Poff, S., Moya, D., Komeili, S., Ju, D., Xu, J., ... &amp; Weston, J. (2021). Retrieval augmentation reduces hallucination in conversation. In Findings of the Association for Computational Linguistics: EMNLP 2021, 3784-3803.</w:t>
      </w:r>
    </w:p>
    <w:p>
      <w:pPr>
        <w:spacing w:before="30" w:after="50" w:line="245" w:lineRule="auto"/>
        <w:ind w:left="360" w:hanging="360"/>
      </w:pPr>
      <w:r>
        <w:rPr>
          <w:rFonts w:ascii="Times New Roman" w:hAnsi="Times New Roman"/>
          <w:sz w:val="16"/>
        </w:rPr>
        <w:t>[4] Yang, Z., Qi, P., Zhang, S., Bengio, Y., Cohen, W. W., Salakhutdinov, R., &amp; Manning, C. D. (2018). HotpotQA: A dataset for diverse, explainable multi-hop question answering. In Proceedings of the 2018 Conference on Empirical Methods in Natural Language Processing (EMNLP), 2369-2380.</w:t>
      </w:r>
    </w:p>
    <w:p>
      <w:pPr>
        <w:spacing w:before="30" w:after="50" w:line="245" w:lineRule="auto"/>
        <w:ind w:left="360" w:hanging="360"/>
      </w:pPr>
      <w:r>
        <w:rPr>
          <w:rFonts w:ascii="Times New Roman" w:hAnsi="Times New Roman"/>
          <w:sz w:val="16"/>
        </w:rPr>
        <w:t>[5] Trivedi, H., Balasubramanian, N., Khot, T., &amp; Sabharwal, A. (2023). Interleaving retrieval with chain-of-thought reasoning for knowledge-intensive multi-step questions. In Proceedings of the 61st Annual Meeting of the Association for Computational Linguistics (ACL), 10014-10037.</w:t>
      </w:r>
    </w:p>
    <w:p>
      <w:pPr>
        <w:spacing w:before="30" w:after="50" w:line="245" w:lineRule="auto"/>
        <w:ind w:left="360" w:hanging="360"/>
      </w:pPr>
      <w:r>
        <w:rPr>
          <w:rFonts w:ascii="Times New Roman" w:hAnsi="Times New Roman"/>
          <w:sz w:val="16"/>
        </w:rPr>
        <w:t>[6] Khattab, O., Santhanam, K., Li, X. L., Hall, D., &amp; Liang, P. (2023). Demonstrate-Search-Predict: Composing retrieval and language models for knowledge-intensive NLP. arXiv preprint arXiv:2212.14024.</w:t>
      </w:r>
    </w:p>
    <w:p>
      <w:pPr>
        <w:spacing w:before="30" w:after="50" w:line="245" w:lineRule="auto"/>
        <w:ind w:left="360" w:hanging="360"/>
      </w:pPr>
      <w:r>
        <w:rPr>
          <w:rFonts w:ascii="Times New Roman" w:hAnsi="Times New Roman"/>
          <w:sz w:val="16"/>
        </w:rPr>
        <w:t>[7] Asai, A., Min, S., Zhong, Z., &amp; Yih, W. T. (2024). Self-RAG: Learning to retrieve, generate, and critique through self-reflection. In International Conference on Learning Representations (ICLR 2024).</w:t>
      </w:r>
    </w:p>
    <w:p>
      <w:pPr>
        <w:spacing w:before="30" w:after="50" w:line="245" w:lineRule="auto"/>
        <w:ind w:left="360" w:hanging="360"/>
      </w:pPr>
      <w:r>
        <w:rPr>
          <w:rFonts w:ascii="Times New Roman" w:hAnsi="Times New Roman"/>
          <w:sz w:val="16"/>
        </w:rPr>
        <w:t>[8] Chen, J., Lin, H., Han, X., &amp; Sun, L. (2024). Benchmarking large language models in retrieval-augmented generation. In Proceedings of the AAAI Conference on Artificial Intelligence, 38(16), 17754-17762.</w:t>
      </w:r>
    </w:p>
    <w:p>
      <w:pPr>
        <w:spacing w:before="30" w:after="50" w:line="245" w:lineRule="auto"/>
        <w:ind w:left="360" w:hanging="360"/>
      </w:pPr>
      <w:r>
        <w:rPr>
          <w:rFonts w:ascii="Times New Roman" w:hAnsi="Times New Roman"/>
          <w:sz w:val="16"/>
        </w:rPr>
        <w:t>[9] Liu, N. F., Lin, K., Hewitt, J., Paranjape, A., Bevilacqua, M., Petroni, F., &amp; Liang, P. (2024). Lost in the middle: How language models use long contexts. Transactions of the Association for Computational Linguistics, 12, 157-173.</w:t>
      </w:r>
    </w:p>
    <w:p>
      <w:pPr>
        <w:spacing w:before="30" w:after="50" w:line="245" w:lineRule="auto"/>
        <w:ind w:left="360" w:hanging="360"/>
      </w:pPr>
      <w:r>
        <w:rPr>
          <w:rFonts w:ascii="Times New Roman" w:hAnsi="Times New Roman"/>
          <w:sz w:val="16"/>
        </w:rPr>
        <w:t>[10] Gao, Y., Xiong, Y., Gao, X., Jia, K., Pan, J., Bi, Y., ... &amp; Wang, H. (2023). Retrieval-augmented generation for large language models: A survey. arXiv preprint arXiv:2312.10997.</w:t>
      </w:r>
    </w:p>
    <w:p>
      <w:pPr>
        <w:spacing w:before="30" w:after="50" w:line="245" w:lineRule="auto"/>
        <w:ind w:left="360" w:hanging="360"/>
      </w:pPr>
      <w:r>
        <w:rPr>
          <w:rFonts w:ascii="Times New Roman" w:hAnsi="Times New Roman"/>
          <w:sz w:val="16"/>
        </w:rPr>
        <w:t>[11] Robertson, S., &amp; Zaragoza, H. (2009). The probabilistic relevance framework: BM25 and beyond. Foundations and Trends in Information Retrieval, 3(4), 333-389.</w:t>
      </w:r>
    </w:p>
    <w:p>
      <w:pPr>
        <w:spacing w:before="30" w:after="50" w:line="245" w:lineRule="auto"/>
        <w:ind w:left="360" w:hanging="360"/>
      </w:pPr>
      <w:r>
        <w:rPr>
          <w:rFonts w:ascii="Times New Roman" w:hAnsi="Times New Roman"/>
          <w:sz w:val="16"/>
        </w:rPr>
        <w:t>[12] Xiao, S., Liu, Z., Zhang, P., &amp; Muennighoff, N. (2023). C-Pack: Packaged resources to advance general Chinese embedding (BGE models). arXiv preprint arXiv:2309.07597.</w:t>
      </w:r>
    </w:p>
    <w:p>
      <w:pPr>
        <w:spacing w:before="30" w:after="50" w:line="245" w:lineRule="auto"/>
        <w:ind w:left="360" w:hanging="360"/>
      </w:pPr>
      <w:r>
        <w:rPr>
          <w:rFonts w:ascii="Times New Roman" w:hAnsi="Times New Roman"/>
          <w:sz w:val="16"/>
        </w:rPr>
        <w:t>[13] Cormack, G. V., Clarke, C. L., &amp; Buettcher, S. (2009). Reciprocal rank fusion outperforms Indri and Lucene for combined search. In Proceedings of the 32nd International ACM SIGIR Conference on Research and Development in Information Retrieval, 758-759.</w:t>
      </w:r>
    </w:p>
    <w:p>
      <w:pPr>
        <w:spacing w:before="30" w:after="50" w:line="245" w:lineRule="auto"/>
        <w:ind w:left="360" w:hanging="360"/>
      </w:pPr>
      <w:r>
        <w:rPr>
          <w:rFonts w:ascii="Times New Roman" w:hAnsi="Times New Roman"/>
          <w:sz w:val="16"/>
        </w:rPr>
        <w:t>[14] Nogueira, R., &amp; Cho, K. (2019). Passage re-ranking with BERT. arXiv preprint arXiv:1901.04085.</w:t>
      </w:r>
    </w:p>
    <w:p>
      <w:pPr>
        <w:spacing w:before="30" w:after="50" w:line="245" w:lineRule="auto"/>
        <w:ind w:left="360" w:hanging="360"/>
      </w:pPr>
      <w:r>
        <w:rPr>
          <w:rFonts w:ascii="Times New Roman" w:hAnsi="Times New Roman"/>
          <w:sz w:val="16"/>
        </w:rPr>
        <w:t>[15] Efron, B., &amp; Tibshirani, R. J. (1993). An Introduction to the Bootstrap. Chapman &amp; Hall/CRC Press.</w:t>
      </w:r>
    </w:p>
    <w:p>
      <w:pPr>
        <w:spacing w:before="30" w:after="50" w:line="245" w:lineRule="auto"/>
        <w:ind w:left="360" w:hanging="360"/>
      </w:pPr>
      <w:r>
        <w:rPr>
          <w:rFonts w:ascii="Times New Roman" w:hAnsi="Times New Roman"/>
          <w:sz w:val="16"/>
        </w:rPr>
        <w:t>[16] Holm, S. (1979). A simple sequentially rejective multiple test procedure. Scandinavian Journal of Statistics, 6(2), 65-70.</w:t>
      </w:r>
    </w:p>
    <w:p>
      <w:pPr>
        <w:spacing w:before="30" w:after="50" w:line="245" w:lineRule="auto"/>
        <w:ind w:left="360" w:hanging="360"/>
      </w:pPr>
      <w:r>
        <w:rPr>
          <w:rFonts w:ascii="Times New Roman" w:hAnsi="Times New Roman"/>
          <w:sz w:val="16"/>
        </w:rPr>
        <w:t>[17] McNemar, Q. (1947). Note on the sampling error of the difference between correlated proportions or percentages. Psychometrika, 12(2), 153-157.</w:t>
      </w:r>
    </w:p>
    <w:p>
      <w:pPr>
        <w:spacing w:before="30" w:after="50" w:line="245" w:lineRule="auto"/>
        <w:ind w:left="360" w:hanging="360"/>
      </w:pPr>
      <w:r>
        <w:rPr>
          <w:rFonts w:ascii="Times New Roman" w:hAnsi="Times New Roman"/>
          <w:sz w:val="16"/>
        </w:rPr>
        <w:t>[18] Qwen Team. (2024). Qwen2.5: A party of foundation and instruction-tuned large language models. arXiv preprint arXiv:2412.15115.</w:t>
      </w:r>
    </w:p>
    <w:p>
      <w:pPr>
        <w:spacing w:before="30" w:after="50" w:line="245" w:lineRule="auto"/>
        <w:ind w:left="360" w:hanging="360"/>
      </w:pPr>
      <w:r>
        <w:rPr>
          <w:rFonts w:ascii="Times New Roman" w:hAnsi="Times New Roman"/>
          <w:sz w:val="16"/>
        </w:rPr>
        <w:t>[19] Rajpurkar, P., Jia, R., &amp; Liang, P. (2018). Know what you don't know: Unanswerable questions for SQuAD. In Proceedings of the 56th Annual Meeting of the Association for Computational Linguistics (ACL), 784-789.</w:t>
      </w:r>
    </w:p>
    <w:p>
      <w:pPr>
        <w:spacing w:before="30" w:after="50" w:line="245" w:lineRule="auto"/>
        <w:ind w:left="360" w:hanging="360"/>
      </w:pPr>
      <w:r>
        <w:rPr>
          <w:rFonts w:ascii="Times New Roman" w:hAnsi="Times New Roman"/>
          <w:sz w:val="16"/>
        </w:rPr>
        <w:t>[20] Min, S., Wallace, E., Singh, S., Gardner, M., Hajishirzi, H., &amp; Zettlemoyer, L. (2019). Compositional questions do not necessitate multi-hop reasoning. In Proceedings of the 57th Annual Meeting of the Association for Computational Linguistics (ACL), 4249-4257.</w:t>
      </w:r>
    </w:p>
    <w:p>
      <w:pPr>
        <w:spacing w:before="30" w:after="50" w:line="245" w:lineRule="auto"/>
        <w:ind w:left="360" w:hanging="360"/>
      </w:pPr>
      <w:r>
        <w:rPr>
          <w:rFonts w:ascii="Times New Roman" w:hAnsi="Times New Roman"/>
          <w:sz w:val="16"/>
        </w:rPr>
        <w:t>[21] Dror, R., Baumer, G., Shlomov, S., &amp; Reichart, R. (2018). The hitchhiker's guide to testing statistical significance in natural language processing. In Proceedings of the 56th Annual Meeting of the Association for Computational Linguistics (ACL), 1383-1392.</w:t>
      </w:r>
    </w:p>
    <w:p>
      <w:pPr>
        <w:spacing w:before="30" w:after="50" w:line="245" w:lineRule="auto"/>
        <w:ind w:left="360" w:hanging="360"/>
      </w:pPr>
      <w:r>
        <w:rPr>
          <w:rFonts w:ascii="Times New Roman" w:hAnsi="Times New Roman"/>
          <w:sz w:val="16"/>
        </w:rPr>
        <w:t>[22] Wilson, E. B. (1927). Probable inference, the law of succession, and statistical inference. Journal of the American Statistical Association, 22(158), 209-212.</w:t>
      </w:r>
    </w:p>
    <w:p>
      <w:pPr>
        <w:spacing w:before="30" w:after="50" w:line="245" w:lineRule="auto"/>
        <w:ind w:left="360" w:hanging="360"/>
      </w:pPr>
      <w:r>
        <w:rPr>
          <w:rFonts w:ascii="Times New Roman" w:hAnsi="Times New Roman"/>
          <w:sz w:val="16"/>
        </w:rPr>
        <w:t>[23] Mallen, A., Asai, A., Zhong, V., Das, R., Khashabi, D., &amp; Hajishirzi, H. (2023). When not to trust language models: Investigating effectiveness of parametric and non-parametric memories. In Proceedings of the 61st Annual Meeting of the Association for Computational Linguistics (ACL), 9802-9822.</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