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2B49"/>
          <w:sz w:val="32"/>
        </w:rPr>
        <w:t>Diagnosing the Multi-Hop Retrieval-Generation Gap:</w:t>
        <w:br/>
        <w:t>A Stage-Wise Empirical Study on HotpotQA</w:t>
      </w:r>
    </w:p>
    <w:p>
      <w:pPr>
        <w:spacing w:before="40" w:after="40"/>
        <w:jc w:val="center"/>
      </w:pPr>
      <w:r>
        <w:rPr>
          <w:rFonts w:ascii="Times New Roman" w:hAnsi="Times New Roman"/>
          <w:b/>
          <w:color w:val="002B49"/>
          <w:sz w:val="21"/>
        </w:rPr>
        <w:t>Abirami K   ·   Madhumitha P S</w:t>
        <w:br/>
      </w:r>
      <w:r>
        <w:rPr>
          <w:rFonts w:ascii="Times New Roman" w:hAnsi="Times New Roman"/>
          <w:color w:val="444444"/>
          <w:sz w:val="18"/>
        </w:rPr>
        <w:t>Department of Computer Science and Engineering</w:t>
        <w:br/>
        <w:t>abiramikondaiyan@gmail.com</w:t>
        <w:br/>
        <w:t>September 2026</w:t>
      </w:r>
    </w:p>
    <w:p>
      <w:pPr>
        <w:spacing w:before="40" w:after="120"/>
        <w:jc w:val="center"/>
      </w:pPr>
      <w:r>
        <w:rPr>
          <w:rFonts w:ascii="Times New Roman" w:hAnsi="Times New Roman"/>
          <w:i/>
          <w:color w:val="004488"/>
          <w:sz w:val="17"/>
        </w:rPr>
        <w:t>Code &amp; Data Availability: Complete execution scripts, raw checkpoint outputs, and paired bootstrap logs are open-source at https://github.com/abirami-302/MultiHop-RAG-Diagnosis under the MIT License.</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B0C4DE"/>
          <w:insideV w:val="none"/>
          <w:left w:val="none"/>
          <w:right w:val="none"/>
        </w:tblBorders>
      </w:tblPr>
      <w:tblGrid>
        <w:gridCol w:w="5040"/>
        <w:gridCol w:w="5040"/>
      </w:tblGrid>
      <w:tr>
        <w:tc>
          <w:tcPr>
            <w:tcW w:type="dxa" w:w="5040"/>
            <w:shd w:fill="F0F4F8"/>
            <w:tcMar>
              <w:top w:w="80" w:type="dxa"/>
              <w:bottom w:w="80" w:type="dxa"/>
              <w:left w:w="100" w:type="dxa"/>
              <w:right w:w="100" w:type="dxa"/>
            </w:tcMar>
          </w:tcPr>
          <w:p>
            <w:pPr>
              <w:spacing w:before="0" w:after="0" w:line="252" w:lineRule="auto"/>
            </w:pPr>
            <w:r>
              <w:rPr>
                <w:rFonts w:ascii="Times New Roman" w:hAnsi="Times New Roman"/>
                <w:b/>
                <w:sz w:val="16"/>
              </w:rPr>
              <w:t>ARTICLE INFO</w:t>
              <w:br/>
              <w:br/>
              <w:t>Keywords:</w:t>
              <w:br/>
            </w:r>
            <w:r>
              <w:rPr>
                <w:rFonts w:ascii="Times New Roman" w:hAnsi="Times New Roman"/>
                <w:sz w:val="15"/>
              </w:rPr>
              <w:t>• Multi-hop QA</w:t>
              <w:br/>
              <w:t>• Retrieval-Augmented Generation</w:t>
              <w:br/>
              <w:t>• HotpotQA Benchmark</w:t>
              <w:br/>
              <w:t>• Cross-Encoder Reranking</w:t>
              <w:br/>
              <w:t>• Paired Bootstrap Testing</w:t>
              <w:br/>
              <w:t>• Reader Capacity Scaling</w:t>
              <w:br/>
              <w:t>• Error Budget Decomposition</w:t>
            </w:r>
          </w:p>
        </w:tc>
        <w:tc>
          <w:tcPr>
            <w:tcW w:type="dxa" w:w="5040"/>
            <w:shd w:fill="FCFDFE"/>
            <w:tcMar>
              <w:top w:w="80" w:type="dxa"/>
              <w:bottom w:w="80" w:type="dxa"/>
              <w:left w:w="120" w:type="dxa"/>
              <w:right w:w="120" w:type="dxa"/>
            </w:tcMar>
          </w:tcPr>
          <w:p>
            <w:pPr>
              <w:spacing w:before="0" w:after="0" w:line="252" w:lineRule="auto"/>
              <w:jc w:val="both"/>
            </w:pPr>
            <w:r>
              <w:rPr>
                <w:rFonts w:ascii="Times New Roman" w:hAnsi="Times New Roman"/>
                <w:b/>
                <w:sz w:val="17"/>
              </w:rPr>
              <w:t>ABSTRACT</w:t>
              <w:br/>
            </w:r>
            <w:r>
              <w:rPr>
                <w:rFonts w:ascii="Times New Roman" w:hAnsi="Times New Roman"/>
                <w:sz w:val="16"/>
              </w:rPr>
              <w:t>Multi-hop question answering requires synthesizing evidence scattered across multiple source passages. While complex iterative retrieval pipelines are frequently proposed to address this challenge, their stage-wise error mechanisms remain insufficiently understood. In this study, we present an empirical diagnostic investigation comparing thirteen retrieval and generation configurations on a 500-question evaluation benchmark drawn from HotpotQA over a pooled corpus of 19,260 passages under a unified execution protocol. Using paired bootstrap resampling (B=10,000) and McNemar's paired non-parametric tests with Holm-Bonferroni family-wise error control, we decouple the relative impact of neural reranking, iterative querying, and generator capacity. Our findings reveal that cross-encoder reranking yields the single largest retrieval gain (+15.40 pp AllSF@5), whereas iterative second-hop retrieval contributes a modest gain (+2.80 pp AllSF@5) that fails to translate into statistically detectable downstream Exact Match improvements. Decomposing the end-to-end performance deficit reveals that imperfect retrieval accounts for only 21.9% of the overall Exact Match deficit under a 3B reader, contracting to 17.1% under a 7B reader. Providing identical retrieved evidence to a 7B reader improves Exact Match by +12.20 pp (reaching 52.00%, comparable to the 3B model's gold-evidence ceiling of 53.00%). A hand-verified error audit of 60 failure cases reveals that 36.70% of downstream errors stem from surface-form metric penalties rather than factual errors. These results demonstrate that multi-hop RAG systems operating over distractor-rich corpora face severe diminishing returns from retrieval optimization and are predominantly reader-and-metric-bound.</w:t>
            </w:r>
          </w:p>
        </w:tc>
      </w:tr>
    </w:tbl>
    <w:p>
      <w:pPr>
        <w:sectPr>
          <w:pgSz w:w="12240" w:h="15840"/>
          <w:pgMar w:top="1080" w:right="1080" w:bottom="1080" w:left="1080" w:header="720" w:footer="720" w:gutter="0"/>
          <w:cols w:space="720"/>
          <w:docGrid w:linePitch="360"/>
        </w:sectPr>
      </w:pPr>
    </w:p>
    <w:p>
      <w:pPr>
        <w:keepNext/>
        <w:spacing w:before="160" w:after="50"/>
      </w:pPr>
      <w:r>
        <w:rPr>
          <w:rFonts w:ascii="Times New Roman" w:hAnsi="Times New Roman"/>
          <w:b/>
          <w:color w:val="002B49"/>
          <w:sz w:val="22"/>
        </w:rPr>
        <w:t>1. Introduction</w:t>
      </w:r>
    </w:p>
    <w:p>
      <w:pPr>
        <w:spacing w:before="0" w:after="80" w:line="259" w:lineRule="auto"/>
        <w:jc w:val="both"/>
      </w:pPr>
      <w:r>
        <w:rPr>
          <w:rFonts w:ascii="Times New Roman" w:hAnsi="Times New Roman"/>
          <w:sz w:val="19"/>
        </w:rPr>
        <w:t>Retrieval-Augmented Generation (RAG) has emerged as the standard paradigm for grounding large language models in verifiable external documentation [1, 2]. By dynamically querying non-parametric text indices at inference time, RAG systems mitigate factual hallucinations, navigate knowledge cutoff constraints, and provide inspectable citations [3]. However, multi-step queries—such as synthesizing entity relationships across separate Wikipedia passages—frequently expose acute retrieval bottlenecks [4].</w:t>
      </w:r>
    </w:p>
    <w:p>
      <w:pPr>
        <w:spacing w:before="0" w:after="80" w:line="259" w:lineRule="auto"/>
        <w:jc w:val="both"/>
      </w:pPr>
      <w:r>
        <w:rPr>
          <w:rFonts w:ascii="Times New Roman" w:hAnsi="Times New Roman"/>
          <w:sz w:val="19"/>
        </w:rPr>
        <w:t>The standard response in recent literature has been architectural: introducing multi-agent debate loops, iterative query reformulations, and multi-hop graph traversals, exemplified by frameworks like IRCoT [5], DSP [6], and Self-RAG [7]. These architectures proceed from the assumption that missing evidence is the primary bottleneck suppressing downstream answer accuracy.</w:t>
      </w:r>
    </w:p>
    <w:p>
      <w:pPr>
        <w:spacing w:before="0" w:after="80" w:line="259" w:lineRule="auto"/>
        <w:jc w:val="both"/>
      </w:pPr>
      <w:r>
        <w:rPr>
          <w:rFonts w:ascii="Times New Roman" w:hAnsi="Times New Roman"/>
          <w:sz w:val="19"/>
        </w:rPr>
        <w:t>Yet evaluating multi-hop systems often conflates retrieval recall gains with answer generation improvements [8]. Many reported improvements fail to isolate whether downstream accuracy gains originate from genuinely superior multi-hop evidence capture, broader context windows, or the downstream generator's capacity to digest noisy candidate sets [9]. Without stage-wise error decomposition and paired statistical testing, practitioners risk engineering intricate retrieval workflows to resolve what might actually be a reader reasoning or metric-formatting deficiency [10].</w:t>
      </w:r>
    </w:p>
    <w:p>
      <w:pPr>
        <w:spacing w:before="0" w:after="80" w:line="259" w:lineRule="auto"/>
        <w:jc w:val="both"/>
      </w:pPr>
      <w:r>
        <w:rPr>
          <w:rFonts w:ascii="Times New Roman" w:hAnsi="Times New Roman"/>
          <w:sz w:val="19"/>
        </w:rPr>
        <w:t>To investigate this dynamic, we conducted an empirical diagnostic study rather than proposing a new retrieval architecture. We evaluate multi-hop RAG stage by stage on HotpotQA [4], evaluating 500 questions against a pooled corpus of 19,260 passages on dual NVIDIA Tesla T4 GPUs. We systematically isolate sparse lexical retrieval (BM25 [11]), dense semantic search (BGE-Small [12]), reciprocal rank fusion (RRF [13]), neural cross-encoder reranking [14], and iterative second-hop retrieval. Crucially, we enforce controlled baselines, including an identical-pool single-pass control (Pool-50) and a wider-context baseline (K=10), paired bootstrap resampling with Holm-Bonferroni family-wise error control [15, 16], and McNemar's tests on paired binary Exact Match outcomes [17].</w:t>
      </w:r>
    </w:p>
    <w:p>
      <w:pPr>
        <w:keepNext/>
        <w:spacing w:before="160" w:after="50"/>
      </w:pPr>
      <w:r>
        <w:rPr>
          <w:rFonts w:ascii="Times New Roman" w:hAnsi="Times New Roman"/>
          <w:b/>
          <w:color w:val="1E293B"/>
          <w:sz w:val="20"/>
        </w:rPr>
        <w:t>1.1 Contributions</w:t>
      </w:r>
    </w:p>
    <w:p>
      <w:pPr>
        <w:spacing w:before="0" w:after="80" w:line="259" w:lineRule="auto"/>
        <w:jc w:val="both"/>
      </w:pPr>
      <w:r>
        <w:rPr>
          <w:rFonts w:ascii="Times New Roman" w:hAnsi="Times New Roman"/>
          <w:sz w:val="19"/>
        </w:rPr>
        <w:t>Our paper provides an empirical diagnostic study rather than a novel pipeline architecture. Specifically, we report three core findings:</w:t>
      </w:r>
    </w:p>
    <w:p>
      <w:pPr>
        <w:spacing w:before="0" w:after="80" w:line="259" w:lineRule="auto"/>
        <w:jc w:val="both"/>
      </w:pPr>
      <w:r>
        <w:rPr>
          <w:rFonts w:ascii="Times New Roman" w:hAnsi="Times New Roman"/>
          <w:sz w:val="19"/>
        </w:rPr>
        <w:t>1. Stage-Wise Error Decomposition: We quantify the exact source of end-to-end performance loss (Table 1). Under a 3B reader, imperfect retrieval accounts for only 21.9% of the overall Exact Match deficit (13.20 pp out of 60.20 pp below 100%), while reader and metric artifacts account for 78.1% (47.00 pp). When evaluating a 7B reader over the exact same evidence, retrieval's share of the deficit contracts to 17.1% (8.20 pp), establishing that stronger generators exhibit greater resilience against distractor interference [18].</w:t>
      </w:r>
    </w:p>
    <w:p>
      <w:pPr>
        <w:spacing w:before="0" w:after="80" w:line="259" w:lineRule="auto"/>
        <w:jc w:val="both"/>
      </w:pPr>
      <w:r>
        <w:rPr>
          <w:rFonts w:ascii="Times New Roman" w:hAnsi="Times New Roman"/>
          <w:sz w:val="19"/>
        </w:rPr>
        <w:t>2. Retrieval Lever Disambiguation: Cross-encoder reranking serves as the dominant retrieval lever, contributing +15.40 pp in all-supporting-fact retrieval coverage (AllSF@5), whereas iterative Hop-2 query augmentation adds a modest +2.80 pp. Under paired McNemar testing, this retrieval gain produces no statistically detectable improvement in downstream Exact Match (p_holm = 0.8511).</w:t>
      </w:r>
    </w:p>
    <w:p>
      <w:pPr>
        <w:spacing w:before="0" w:after="80" w:line="259" w:lineRule="auto"/>
        <w:jc w:val="both"/>
      </w:pPr>
      <w:r>
        <w:rPr>
          <w:rFonts w:ascii="Times New Roman" w:hAnsi="Times New Roman"/>
          <w:sz w:val="19"/>
        </w:rPr>
        <w:t>3. Qualitative Failure Taxonomy: Through a hand-verified audit of 60 error cases, we demonstrate that 36.70% of generation failures represent surface-form metric artifacts where the model extracted the correct semantic fact but failed string-matching criteria. An additional 31.70% represent logical reasoning breakdowns despite having full or partial gold evidence in context. Collectively, these results show that multi-hop QA over distractor-rich corpora is primarily reader-and-metric-bound rather than retrieval-bound [19].</w:t>
      </w:r>
    </w:p>
    <w:p>
      <w:pPr>
        <w:keepNext/>
        <w:spacing w:before="160" w:after="50"/>
      </w:pPr>
      <w:r>
        <w:rPr>
          <w:rFonts w:ascii="Times New Roman" w:hAnsi="Times New Roman"/>
          <w:b/>
          <w:color w:val="002B49"/>
          <w:sz w:val="22"/>
        </w:rPr>
        <w:t>2. Related Work</w:t>
      </w:r>
    </w:p>
    <w:p>
      <w:pPr>
        <w:spacing w:before="0" w:after="80" w:line="259" w:lineRule="auto"/>
        <w:jc w:val="both"/>
      </w:pPr>
      <w:r>
        <w:rPr>
          <w:rFonts w:ascii="Times New Roman" w:hAnsi="Times New Roman"/>
          <w:sz w:val="19"/>
        </w:rPr>
        <w:t>Dense passage retrieval [2] established the feasibility of replacing sparse inverted indices with dual-encoder representations trained via contrastive loss. Karpukhin et al. trained separate BERT-base models for questions and passages on Natural Questions and TriviaQA, indexing over 21 million Wikipedia documents using FAISS. While their work demonstrated substantial gains over BM25 on single-hop queries, their architecture was fundamentally evaluated on open-domain datasets where target answers frequently reside within isolated paragraphs. In our setup, by contrast, the reader must resolve compositional dependencies across two disconnected texts hidden within an adversarial 19,260-passage corpus. Dense models often struggle here because they lack the exact surface-form string matching required to catch non-standard proper nouns and catalog identifiers, leading to vocabulary mismatch problems that dual encoders cannot bridge reliably on their own.</w:t>
      </w:r>
    </w:p>
    <w:p>
      <w:pPr>
        <w:spacing w:before="0" w:after="80" w:line="259" w:lineRule="auto"/>
        <w:jc w:val="both"/>
      </w:pPr>
      <w:r>
        <w:rPr>
          <w:rFonts w:ascii="Times New Roman" w:hAnsi="Times New Roman"/>
          <w:sz w:val="19"/>
        </w:rPr>
        <w:t>Benchmark evaluations such as BEIR have repeatedly shown that lexical BM25 Okapi [11] remains resilient when domains shift or queries turn specialized. Robertson and Zaragoza formalized the probabilistic term-weighting framework, penalizing high-frequency terms through non-linear term-frequency saturation and document-length normalization. In standard multi-hop benchmarks, BM25 operates effectively on the first question hop because user queries almost always contain explicit named entities matching Wikipedia page titles. But the lexical bridge breaks down immediately on the second hop. Because the entity linking the intermediate fact to the final target is completely missing from the original query, standard term matching cannot rank the second paragraph without query expansion or vector-space projections.</w:t>
      </w:r>
    </w:p>
    <w:p>
      <w:pPr>
        <w:spacing w:before="0" w:after="80" w:line="259" w:lineRule="auto"/>
        <w:jc w:val="both"/>
      </w:pPr>
      <w:r>
        <w:rPr>
          <w:rFonts w:ascii="Times New Roman" w:hAnsi="Times New Roman"/>
          <w:sz w:val="19"/>
        </w:rPr>
        <w:t>Cross-encoder architectures resolve this semantic gap by concatenating query and passage tokens into a single sequence, running full self-attention across every layer [14]. Nogueira and Cho demonstrated that token-level cross-attention between queries and documents yields massive improvements in precision over dual-encoder bi-encoders, though at the expense of computational latency. Whereas standard bi-encoders precompute document representations and rely on fast inner-product operations, a cross-encoder must evaluate candidate pairs dynamically at inference time. Our profiling confirms that this quadratic attention mechanism dominates the entire retrieval pipeline latency, spending 0.456 seconds per query—over 32 times slower than dense vector search.</w:t>
      </w:r>
    </w:p>
    <w:p>
      <w:pPr>
        <w:spacing w:before="0" w:after="80" w:line="259" w:lineRule="auto"/>
        <w:jc w:val="both"/>
      </w:pPr>
      <w:r>
        <w:rPr>
          <w:rFonts w:ascii="Times New Roman" w:hAnsi="Times New Roman"/>
          <w:sz w:val="19"/>
        </w:rPr>
        <w:t>Iterative frameworks attempt to bypass this cost by breaking multi-step questions into consecutive retrieval passes. Trivedi et al. [5] introduced IRCoT, which interleaves chain-of-thought generation with retrieval calls using Codex and large open models across HotpotQA and 2WikiMultihopQA. In their setup, an LLM generates an exploratory thought step, uses that partial text to search the index, and repeats the cycle until a termination criterion is met. Similarly, beam-retrieval architectures expand candidate passage trees at each step to maintain a diverse frontier of reasoning paths [6]. Our study adopts a more constrained, staged protocol: rather than running unconstrained LLM agent loops, we enforce an empirical comparison using open-weights 3B and 7B readers over a standardized, distractor-heavy pooled index. This controlled scope lets us isolate whether downstream gains stem from genuine multi-hop evidence capture or simply from giving the model larger candidate pools.</w:t>
      </w:r>
    </w:p>
    <w:p>
      <w:pPr>
        <w:spacing w:before="0" w:after="80" w:line="259" w:lineRule="auto"/>
        <w:jc w:val="both"/>
      </w:pPr>
      <w:r>
        <w:rPr>
          <w:rFonts w:ascii="Times New Roman" w:hAnsi="Times New Roman"/>
          <w:sz w:val="19"/>
        </w:rPr>
        <w:t>At the same time, empirical rigor and statistical validation remain inconsistently applied across published RAG evaluations [21]. Studies frequently report marginal point differences on small test sets without paired non-parametric significance testing. In this work, we apply paired bootstrap resampling [15] and McNemar's test for binary paired outcomes [17], enforcing family-wise error rate control via the Holm-Bonferroni step-down procedure [16] to establish reliable, reproducible diagnostic baselines.</w:t>
      </w:r>
    </w:p>
    <w:p>
      <w:pPr>
        <w:keepNext/>
        <w:spacing w:before="160" w:after="50"/>
      </w:pPr>
      <w:r>
        <w:rPr>
          <w:rFonts w:ascii="Times New Roman" w:hAnsi="Times New Roman"/>
          <w:b/>
          <w:color w:val="002B49"/>
          <w:sz w:val="22"/>
        </w:rPr>
        <w:t>3. Methodology</w:t>
      </w:r>
    </w:p>
    <w:p>
      <w:pPr>
        <w:spacing w:before="0" w:after="80" w:line="259" w:lineRule="auto"/>
        <w:jc w:val="both"/>
      </w:pPr>
      <w:r>
        <w:rPr>
          <w:rFonts w:ascii="Times New Roman" w:hAnsi="Times New Roman"/>
          <w:sz w:val="19"/>
        </w:rPr>
        <w:t>To perform a clean diagnostic autopsy, we evaluate thirteen distinct system configurations and controlled ablations across a single, fixed evaluation protocol. In this section, we document our corpus construction, the thirteen evaluated pipeline configurations, metric definitions, and our statistical framework.</w:t>
      </w:r>
    </w:p>
    <w:p>
      <w:pPr>
        <w:keepNext/>
        <w:spacing w:before="160" w:after="50"/>
      </w:pPr>
      <w:r>
        <w:rPr>
          <w:rFonts w:ascii="Times New Roman" w:hAnsi="Times New Roman"/>
          <w:b/>
          <w:color w:val="1E293B"/>
          <w:sz w:val="20"/>
        </w:rPr>
        <w:t>3.1 Evaluation Benchmark and Corpus Construction</w:t>
      </w:r>
    </w:p>
    <w:p>
      <w:pPr>
        <w:spacing w:before="0" w:after="80" w:line="259" w:lineRule="auto"/>
        <w:jc w:val="both"/>
      </w:pPr>
      <w:r>
        <w:rPr>
          <w:rFonts w:ascii="Times New Roman" w:hAnsi="Times New Roman"/>
          <w:sz w:val="19"/>
        </w:rPr>
        <w:t>We construct our benchmark using the HotpotQA development set (distractor split) [4]. The full development set comprises 7,405 questions, each accompanied by two gold supporting passages and eight distractor paragraphs selected by TF-IDF similarity. To evaluate under a realistic open-retrieval setting without relying on external APIs, we construct a pooled local corpus of 19,260 unique passages by aggregating all context paragraphs associated with a fixed subset of 2,000 development questions (N_CORPUS = 2000, SEED = 42). Because distractor paragraphs in HotpotQA share high lexical overlap with the query entities, this pooled corpus provides an adversarial environment with severe distractor competition.</w:t>
      </w:r>
    </w:p>
    <w:p>
      <w:pPr>
        <w:spacing w:before="0" w:after="80" w:line="259" w:lineRule="auto"/>
        <w:jc w:val="both"/>
      </w:pPr>
      <w:r>
        <w:rPr>
          <w:rFonts w:ascii="Times New Roman" w:hAnsi="Times New Roman"/>
          <w:sz w:val="19"/>
        </w:rPr>
        <w:t>From this pooled corpus, we evaluate a fixed subset of 500 questions (N=500), comprising 404 bridge questions (80.8%) and 96 comparison questions (19.2%), preserving the natural difficulty distribution of the original benchmark. Hardware execution is fixed on dual NVIDIA Tesla T4 GPUs (16 GB VRAM each) hosted in a reproducible Kaggle environment.</w:t>
      </w:r>
    </w:p>
    <w:p>
      <w:pPr>
        <w:keepNext/>
        <w:spacing w:before="160" w:after="50"/>
      </w:pPr>
      <w:r>
        <w:rPr>
          <w:rFonts w:ascii="Times New Roman" w:hAnsi="Times New Roman"/>
          <w:b/>
          <w:color w:val="1E293B"/>
          <w:sz w:val="20"/>
        </w:rPr>
        <w:t>3.2 Evaluated System Configurations and Controlled Baselines</w:t>
      </w:r>
    </w:p>
    <w:p>
      <w:pPr>
        <w:spacing w:before="0" w:after="80" w:line="259" w:lineRule="auto"/>
        <w:jc w:val="both"/>
      </w:pPr>
      <w:r>
        <w:rPr>
          <w:rFonts w:ascii="Times New Roman" w:hAnsi="Times New Roman"/>
          <w:sz w:val="19"/>
        </w:rPr>
        <w:t>We examine thirteen distinct configurations, specifically formulated to isolate each component of the retrieval and generation stack:</w:t>
        <w:br/>
        <w:t>• S0 (Closed-Book Floor): Parametric knowledge alone; generator receives no context passages.</w:t>
        <w:br/>
        <w:t>• S1 (BM25 Okapi): Lexical sparse inverted indexing, returning top-5 passages [11].</w:t>
        <w:br/>
        <w:t>• S2 (Dense BGE-Small): Vector search via BAAI/bge-small-en-v1.5 (384-dim) with dot-product similarity, returning top-5 passages [12].</w:t>
        <w:br/>
        <w:t>• S3 (Hybrid RRF Fusion): Merges top-100 BM25 and top-100 dense candidates using Reciprocal Rank Fusion (k=60), returning top-5 passages without reranking [13].</w:t>
        <w:br/>
        <w:t>• S5 (Hybrid + Cross-Encoder Reranker): Initial hybrid pool of 25 candidates reranked via BAAI/bge-reranker-base, truncated to top-5 [14].</w:t>
        <w:br/>
        <w:t>• S5_Ctrl (Fair Pool-50 Single-Pass Control): Initial hybrid pool expanded to 50 candidates, reranked by the cross-encoder to top-5. This provides an exact capacity control for the two-hop pipeline, ensuring identical candidate search budgets (50 total candidates).</w:t>
        <w:br/>
        <w:t>• Ctrl_SinglePass_K10 (Context Budget Control): Unreranked hybrid retrieval fed directly to the reader at context budget K=10, evaluating whether expanding the reader's passage budget substitutes for neural reranking.</w:t>
        <w:br/>
        <w:t>• S7 (Dense Iterative Hop-2): Two-hop iterative retrieval using dense search alone. Hop 1 retrieves top-2 passages; Hop 2 queries the question concatenated with the first 200 characters of the Hop 1 text.</w:t>
        <w:br/>
        <w:t>• S8 (Staged Multi-Hop Pipeline): Our full reference staged architecture. Hop 1 retrieves 25 hybrid candidates. The top-2 passages (truncated to 200 characters) are appended to the query for Hop 2 (retrieving 25 candidates). The combined 50-candidate pool is deduplicated, reranked by the cross-encoder, and truncated to top-5.</w:t>
        <w:br/>
        <w:t>• S9 (Oracle Ceiling): Provides the generator with the ground-truth gold supporting passages, establishing the upper performance bound under perfect retrieval.</w:t>
        <w:br/>
        <w:t>• Abl_No_Reranker: Full S8 two-hop pipeline but bypassing the cross-encoder reranker, relying solely on RRF merge scores for top-5 truncation.</w:t>
        <w:br/>
        <w:t>• Abl_BM25_Only: Full S8 pipeline omitting dense retrieval (BM25 search alone across both hops, followed by cross-encoder reranking).</w:t>
        <w:br/>
        <w:t>• Abl_Dense_Only: Full S8 pipeline omitting BM25 retrieval (Dense search alone across both hops, followed by cross-encoder reranking).</w:t>
      </w:r>
    </w:p>
    <w:p>
      <w:pPr>
        <w:keepNext/>
        <w:spacing w:before="160" w:after="50"/>
      </w:pPr>
      <w:r>
        <w:rPr>
          <w:rFonts w:ascii="Times New Roman" w:hAnsi="Times New Roman"/>
          <w:b/>
          <w:color w:val="1E293B"/>
          <w:sz w:val="20"/>
        </w:rPr>
        <w:t>3.3 Evaluation Metrics and Generation Protocol</w:t>
      </w:r>
    </w:p>
    <w:p>
      <w:pPr>
        <w:spacing w:before="0" w:after="80" w:line="259" w:lineRule="auto"/>
        <w:jc w:val="both"/>
      </w:pPr>
      <w:r>
        <w:rPr>
          <w:rFonts w:ascii="Times New Roman" w:hAnsi="Times New Roman"/>
          <w:sz w:val="19"/>
        </w:rPr>
        <w:t>Retrieval quality is measured across three primary dimensions at cut-off K=5: (i) Supporting Fact Recall (SF Recall@5), measuring the percentage of ground-truth facts retrieved; (ii) All Supporting Facts Recall (AllSF@5), a binary metric indicating whether all necessary gold supporting passages are simultaneously present in the top-K context; and (iii) Mean Reciprocal Rank (MRR) of the first retrieved gold passage.</w:t>
      </w:r>
    </w:p>
    <w:p>
      <w:pPr>
        <w:spacing w:before="0" w:after="80" w:line="259" w:lineRule="auto"/>
        <w:jc w:val="both"/>
      </w:pPr>
      <w:r>
        <w:rPr>
          <w:rFonts w:ascii="Times New Roman" w:hAnsi="Times New Roman"/>
          <w:sz w:val="19"/>
        </w:rPr>
        <w:t>Downstream question answering is evaluated using standard Exact Match (EM) binary accuracy after regex surface normalization (lowercasing, punctuation, and article removal) and macro-averaged token-level F1 score. Generation is performed under greedy decoding (do_sample=False, temperature=0.0, max_new_tokens=32) using Qwen2.5-3B-Instruct [18] as our default reader, and Qwen2.5-7B-Instruct for our parameter scaling diagnostic. The reader prompt follows standard instruction formatting:</w:t>
        <w:br/>
        <w:t>'Answer the question concisely based only on the provided documents. Answer with just the entity name, number, or yes/no.</w:t>
        <w:br/>
        <w:br/>
        <w:t>Documents:</w:t>
        <w:br/>
        <w:t>[Context]</w:t>
        <w:br/>
        <w:br/>
        <w:t>Question: [Query]</w:t>
        <w:br/>
        <w:t>Answer:'</w:t>
      </w:r>
    </w:p>
    <w:p>
      <w:pPr>
        <w:keepNext/>
        <w:spacing w:before="160" w:after="50"/>
      </w:pPr>
      <w:r>
        <w:rPr>
          <w:rFonts w:ascii="Times New Roman" w:hAnsi="Times New Roman"/>
          <w:b/>
          <w:i/>
          <w:color w:val="334155"/>
          <w:sz w:val="19"/>
        </w:rPr>
        <w:t>3.3.1 Fusion Mechanics, Prompt Constraints, and Worked Error Attribution</w:t>
      </w:r>
    </w:p>
    <w:p>
      <w:pPr>
        <w:spacing w:before="0" w:after="80" w:line="259" w:lineRule="auto"/>
        <w:jc w:val="both"/>
      </w:pPr>
      <w:r>
        <w:rPr>
          <w:rFonts w:ascii="Times New Roman" w:hAnsi="Times New Roman"/>
          <w:sz w:val="19"/>
        </w:rPr>
        <w:t>To combine lexical and semantic candidates without hand-tuning score normalizers, we use Reciprocal Rank Fusion (RRF) [13]. Given a ranked candidate list R_BM25 from sparse retrieval and R_Dense from dense vector search, the fused score for any passage p is calculated as:</w:t>
        <w:br/>
        <w:t>RRF(p) = Σ_{m ∈ {BM25, Dense}} [1 / (k + r_m(p))]</w:t>
        <w:br/>
        <w:t>where r_m(p) denotes the 1-indexed rank of passage p within retriever m's candidate pool, and k is a constant smoothing parameter fixed at 60. If a passage appears in only one retriever's candidate list, its reciprocal term for the missing list evaluates to zero. In our pipeline, BM25 and dense retrieval each return an initial pool of 100 candidates. The top-25 passages ranked by RRF(p) form the intermediate candidate set fed into the reranker.</w:t>
      </w:r>
    </w:p>
    <w:p>
      <w:pPr>
        <w:spacing w:before="0" w:after="80" w:line="259" w:lineRule="auto"/>
        <w:jc w:val="both"/>
      </w:pPr>
      <w:r>
        <w:rPr>
          <w:rFonts w:ascii="Times New Roman" w:hAnsi="Times New Roman"/>
          <w:sz w:val="19"/>
        </w:rPr>
        <w:t>To evaluate operational cost, we benchmarked the execution time of each retrieval component across 30 evaluation queries after 5 warm-up cycles. The cross-encoder reranker accounts for 69.1% of cumulative retrieval stage latency (0.4560 s out of 0.6592 s combined execution time across dense search, BM25 indexing, RRF merging, and reranking), processing queries at 2.2 queries per second. By comparison, dense vector search requires only 0.0139 s (71.9 qps), making the reranker 32.8× slower than bi-encoder retrieval.</w:t>
      </w:r>
    </w:p>
    <w:p>
      <w:pPr>
        <w:spacing w:before="0" w:after="80" w:line="259" w:lineRule="auto"/>
        <w:jc w:val="both"/>
      </w:pPr>
      <w:r>
        <w:rPr>
          <w:rFonts w:ascii="Times New Roman" w:hAnsi="Times New Roman"/>
          <w:sz w:val="19"/>
        </w:rPr>
        <w:t>To isolate how much downstream performance loss stems from missing retrieval evidence versus generator reasoning limits, we evaluate the Exact Match (EM) figures for our primary 3B reader. The theoretical ceiling is 100.00%, the gold-evidence Oracle score (S9) is 53.00%, and the full staged pipeline (S8) achieves 39.80%. We calculate the two component losses:</w:t>
        <w:br/>
        <w:t>• Retrieval Loss = Oracle EM − S8 EM = 53.00% − 39.80% = 13.20 pp</w:t>
        <w:br/>
        <w:t>• Reader/Metric Loss = 100.00% − Oracle EM = 100.00% − 53.00% = 47.00 pp</w:t>
        <w:br/>
        <w:t>The total performance deficit below perfect execution is 100.00% − 39.80% = 60.20 pp. Calculating retrieval's attributed share of this total deficit gives:</w:t>
        <w:br/>
        <w:t>Retrieval Share = Retrieval Loss / Total Deficit = 13.20 / 60.20 = 21.93% ≈ 21.9%.</w:t>
        <w:br/>
        <w:t>This leaves the remaining 78.07% (47.00 / 60.20) of the deficit driven entirely by reader reasoning failures and surface-form string mismatches.</w:t>
      </w:r>
    </w:p>
    <w:p>
      <w:pPr>
        <w:keepNext/>
        <w:spacing w:before="160" w:after="50"/>
      </w:pPr>
      <w:r>
        <w:rPr>
          <w:rFonts w:ascii="Times New Roman" w:hAnsi="Times New Roman"/>
          <w:b/>
          <w:color w:val="1E293B"/>
          <w:sz w:val="20"/>
        </w:rPr>
        <w:t>3.4 Statistical Testing Protocol</w:t>
      </w:r>
    </w:p>
    <w:p>
      <w:pPr>
        <w:spacing w:before="0" w:after="80" w:line="259" w:lineRule="auto"/>
        <w:jc w:val="both"/>
      </w:pPr>
      <w:r>
        <w:rPr>
          <w:rFonts w:ascii="Times New Roman" w:hAnsi="Times New Roman"/>
          <w:sz w:val="19"/>
        </w:rPr>
        <w:t>We evaluate comparisons using two complementary non-parametric testing frameworks: (1) Paired bootstrap resampling with B=10,000 resamples [15] to estimate empirical percentile 95% confidence intervals and empirical p-values for AllSF and F1 differences; and (2) Continuity-corrected McNemar's test on binary 0/1 Exact Match outcomes [17]. For all test families, we enforce family-wise error rate control at alpha=0.05 using the Holm-Bonferroni step-down adjustment [16].</w:t>
      </w:r>
    </w:p>
    <w:p>
      <w:pPr>
        <w:keepNext/>
        <w:spacing w:before="160" w:after="50"/>
      </w:pPr>
      <w:r>
        <w:rPr>
          <w:rFonts w:ascii="Times New Roman" w:hAnsi="Times New Roman"/>
          <w:b/>
          <w:color w:val="002B49"/>
          <w:sz w:val="22"/>
        </w:rPr>
        <w:t>4. Experimental Results and Diagnostics</w:t>
      </w:r>
    </w:p>
    <w:p>
      <w:pPr>
        <w:spacing w:before="0" w:after="80" w:line="259" w:lineRule="auto"/>
        <w:jc w:val="both"/>
      </w:pPr>
      <w:r>
        <w:rPr>
          <w:rFonts w:ascii="Times New Roman" w:hAnsi="Times New Roman"/>
          <w:sz w:val="19"/>
        </w:rPr>
        <w:t>We present our empirical findings across nine subsections, tracking the performance of the pipeline from global error budgets down to manual failure categorizations.</w:t>
      </w:r>
    </w:p>
    <w:p>
      <w:pPr>
        <w:keepNext/>
        <w:spacing w:before="160" w:after="50"/>
      </w:pPr>
      <w:r>
        <w:rPr>
          <w:rFonts w:ascii="Times New Roman" w:hAnsi="Times New Roman"/>
          <w:b/>
          <w:color w:val="1E293B"/>
          <w:sz w:val="20"/>
        </w:rPr>
        <w:t>4.1 Stage-Wise Error Budget Decomposition (Table 1)</w:t>
      </w:r>
    </w:p>
    <w:p>
      <w:pPr>
        <w:spacing w:before="0" w:after="80" w:line="259" w:lineRule="auto"/>
        <w:jc w:val="both"/>
      </w:pPr>
      <w:r>
        <w:rPr>
          <w:rFonts w:ascii="Times New Roman" w:hAnsi="Times New Roman"/>
          <w:sz w:val="19"/>
        </w:rPr>
        <w:t>We begin with the central diagnostic question: how much of downstream failure is genuinely caused by retrieval misses versus generator limitations? Table 1 decomposes the performance gap between zero and 100% into retrieval loss (Oracle Ceiling minus S8 Pipeline) and reader/metric loss (100% minus Oracle Ceiling).</w:t>
      </w:r>
    </w:p>
    <w:p>
      <w:pPr>
        <w:keepNext/>
        <w:spacing w:before="80" w:after="40"/>
        <w:jc w:val="left"/>
      </w:pPr>
      <w:r>
        <w:rPr>
          <w:rFonts w:ascii="Times New Roman" w:hAnsi="Times New Roman"/>
          <w:b/>
          <w:color w:val="002B49"/>
          <w:sz w:val="17"/>
        </w:rPr>
        <w:t>Table 1. Stage-wise error budget decomposition of downstream performance deficits (N=500 questions).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520"/>
        <w:gridCol w:w="2520"/>
        <w:gridCol w:w="2520"/>
        <w:gridCol w:w="2520"/>
      </w:tblGrid>
      <w:tr>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Metric &amp; Component</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3B Reader</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7B Reader</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Diagnostic Share</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 Retrieval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13.20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Imperfect retrieval deficit</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 Reader/Metric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47.00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39.80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Loss under perfect gold passages</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Retrieval Share (EM)</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21.9%</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17.1%</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&gt;78% deficit is reader-bound</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 Retrieval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15.66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10.78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Distractor token overlap loss</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 Reader/Metric Loss</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33.20 pp</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24.90 pp</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Token overlap loss under gold</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Retrieval Share (F1)</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32.0%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30.2%</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~70% deficit is reader-bound</w:t>
            </w:r>
          </w:p>
        </w:tc>
      </w:tr>
    </w:tbl>
    <w:p>
      <w:pPr>
        <w:spacing w:before="20" w:after="100"/>
        <w:jc w:val="left"/>
      </w:pPr>
      <w:r>
        <w:rPr>
          <w:rFonts w:ascii="Times New Roman" w:hAnsi="Times New Roman"/>
          <w:i/>
          <w:color w:val="555555"/>
          <w:sz w:val="15"/>
        </w:rPr>
        <w:t>Note: Retrieval share = Retrieval Loss / (Retrieval Loss + Reader Loss). Note that 'Retrieval loss' compares 2 clean oracle passages against 5 retrieved passages, mixing missing evidence with distractor noise.</w:t>
      </w:r>
    </w:p>
    <w:p>
      <w:pPr>
        <w:spacing w:before="0" w:after="80" w:line="259" w:lineRule="auto"/>
        <w:jc w:val="both"/>
      </w:pPr>
      <w:r>
        <w:rPr>
          <w:rFonts w:ascii="Times New Roman" w:hAnsi="Times New Roman"/>
          <w:sz w:val="19"/>
        </w:rPr>
        <w:t>Under the 3B reader, the retrieval-induced Exact Match deficit is 13.20 pp, while the reader and metric deficit is 47.00 pp. Thus, retrieval errors account for only 21.9% of the total downstream EM deficit. More tellingly, when switching to the 7B reader, the retrieval-induced deficit contracts from 13.20 pp to 8.20 pp (a 37.9% reduction in retrieval penalty), even though both readers received the exact same retrieved passages. This reveals a critical reader-retriever interaction: stronger generators possess superior noise-filtering capabilities, demonstrating that retrieval quality becomes progressively less of a limiting bottleneck as generator reasoning capacity increases [18].</w:t>
      </w:r>
    </w:p>
    <w:p>
      <w:pPr>
        <w:keepNext/>
        <w:spacing w:before="160" w:after="50"/>
      </w:pPr>
      <w:r>
        <w:rPr>
          <w:rFonts w:ascii="Times New Roman" w:hAnsi="Times New Roman"/>
          <w:b/>
          <w:color w:val="1E293B"/>
          <w:sz w:val="20"/>
        </w:rPr>
        <w:t>4.2 End-to-End Pipeline Performance (Table 2 &amp; Figure 2)</w:t>
      </w:r>
    </w:p>
    <w:p>
      <w:pPr>
        <w:spacing w:before="0" w:after="80" w:line="259" w:lineRule="auto"/>
        <w:jc w:val="both"/>
      </w:pPr>
      <w:r>
        <w:rPr>
          <w:rFonts w:ascii="Times New Roman" w:hAnsi="Times New Roman"/>
          <w:sz w:val="19"/>
        </w:rPr>
        <w:t>Table 2 reports overall retrieval and downstream generation performance across the primary pipeline architectures and controlled baselines.</w:t>
      </w:r>
    </w:p>
    <w:p>
      <w:pPr>
        <w:keepNext/>
        <w:spacing w:before="80" w:after="40"/>
        <w:jc w:val="left"/>
      </w:pPr>
      <w:r>
        <w:rPr>
          <w:rFonts w:ascii="Times New Roman" w:hAnsi="Times New Roman"/>
          <w:b/>
          <w:color w:val="002B49"/>
          <w:sz w:val="17"/>
        </w:rPr>
        <w:t>Table 2. Multi-stage retrieval and downstream generation evaluation on HotpotQA (N=500, Context K=5, Qwen2.5-3B).</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System Configuration</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K</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AllSF@K</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SF Rec</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MRR</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EM (%)</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F1 (%)</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S0: Closed-Book Floor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17.86%</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S1: BM25 Okapi</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46.80%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70.20%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0.84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30.80%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40.36%</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S2: Dense BGE-Small</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70.60%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84.40%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36.80%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47.11%</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S3: Hybrid RRF Fusion</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67.20%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33.60%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43.88%</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 Hybrid + Reranker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49.15%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S5_Ctrl: Fair Pool-50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91.20%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49.31%</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Ctrl_SinglePass_K10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90.10%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48.44%</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S7: Dense Iterative</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84.90%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0.93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37.60%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49.20%</w:t>
            </w:r>
          </w:p>
        </w:tc>
      </w:tr>
      <w:tr>
        <w:tc>
          <w:tcPr>
            <w:tcW w:type="dxa" w:w="1440"/>
            <w:shd w:fill="EBF3FB"/>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Staged Pipeline</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85.60%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92.60%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0.97</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39.80%</w:t>
            </w:r>
          </w:p>
        </w:tc>
        <w:tc>
          <w:tcPr>
            <w:tcW w:type="dxa" w:w="1440"/>
            <w:shd w:fill="EBF3FB"/>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51.14%</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 Oracle Ceiling</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Gold</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66.80%</w:t>
            </w:r>
          </w:p>
        </w:tc>
      </w:tr>
    </w:tbl>
    <w:p>
      <w:pPr>
        <w:spacing w:before="20" w:after="100"/>
        <w:jc w:val="left"/>
      </w:pPr>
      <w:r>
        <w:rPr>
          <w:rFonts w:ascii="Times New Roman" w:hAnsi="Times New Roman"/>
          <w:i/>
          <w:color w:val="555555"/>
          <w:sz w:val="15"/>
        </w:rPr>
        <w:t>*Note on Ctrl_SinglePass_K10: AllSF evaluated at K=10. S8 achieves the highest EM among primary multi-stage configurations (39.80%).</w:t>
      </w:r>
    </w:p>
    <w:p>
      <w:pPr>
        <w:spacing w:before="0" w:after="80" w:line="259" w:lineRule="auto"/>
        <w:jc w:val="both"/>
      </w:pPr>
      <w:r>
        <w:rPr>
          <w:rFonts w:ascii="Times New Roman" w:hAnsi="Times New Roman"/>
          <w:sz w:val="19"/>
        </w:rPr>
        <w:t>Across primary configurations, S8 establishes the highest AllSF@5 (85.60%), MRR (0.97), and Exact Match (39.80%). Across the eight retrieval systems in Table 2, AllSF and EM correlate strongly at r ≈ 0.97. However, the gains show clear diminishing returns: moving from BM25 (46.80% AllSF) to Dense (70.60% AllSF) increases EM by +6.00 pp. Beyond 70% AllSF, further retrieval gains yield much smaller downstream increases: adding +15.00 pp AllSF from Dense to S8 produces only +3.00 pp in EM.</w:t>
      </w:r>
    </w:p>
    <w:p>
      <w:pPr>
        <w:spacing w:before="0" w:after="80" w:line="259" w:lineRule="auto"/>
        <w:jc w:val="both"/>
      </w:pPr>
      <w:r>
        <w:rPr>
          <w:rFonts w:ascii="Times New Roman" w:hAnsi="Times New Roman"/>
          <w:sz w:val="19"/>
        </w:rPr>
        <w:t>Second, consider Ctrl_SinglePass_K10. By simply providing the generator with ten unreranked hybrid passages (K=10) instead of five reranked passages, the reader reaches 38.60% EM—virtually identical to the 38.80% achieved by neural reranking at K=5. Allocating a broader context budget to the reader circumvents the need for neural cross-encoder reranking on this corpus size.</w:t>
      </w:r>
    </w:p>
    <w:p>
      <w:pPr>
        <w:keepNext/>
        <w:spacing w:before="160" w:after="50"/>
      </w:pPr>
      <w:r>
        <w:rPr>
          <w:rFonts w:ascii="Times New Roman" w:hAnsi="Times New Roman"/>
          <w:b/>
          <w:color w:val="1E293B"/>
          <w:sz w:val="20"/>
        </w:rPr>
        <w:t>4.3 Marginal Gains of S8 over Baselines (Table 3)</w:t>
      </w:r>
    </w:p>
    <w:p>
      <w:pPr>
        <w:spacing w:before="0" w:after="80" w:line="259" w:lineRule="auto"/>
        <w:jc w:val="both"/>
      </w:pPr>
      <w:r>
        <w:rPr>
          <w:rFonts w:ascii="Times New Roman" w:hAnsi="Times New Roman"/>
          <w:sz w:val="19"/>
        </w:rPr>
        <w:t>Table 3 isolates the marginal net gains (Δ pp) of the full staged pipeline over each individual baseline.</w:t>
      </w:r>
    </w:p>
    <w:p>
      <w:pPr>
        <w:keepNext/>
        <w:spacing w:before="80" w:after="40"/>
        <w:jc w:val="left"/>
      </w:pPr>
      <w:r>
        <w:rPr>
          <w:rFonts w:ascii="Times New Roman" w:hAnsi="Times New Roman"/>
          <w:b/>
          <w:color w:val="002B49"/>
          <w:sz w:val="17"/>
        </w:rPr>
        <w:t>Table 3. Marginal point gains (Δ pp) of S8 over baseline systems with paired McNemar significance status.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260"/>
        <w:gridCol w:w="1260"/>
        <w:gridCol w:w="1260"/>
        <w:gridCol w:w="1260"/>
        <w:gridCol w:w="1260"/>
        <w:gridCol w:w="1260"/>
        <w:gridCol w:w="1260"/>
        <w:gridCol w:w="1260"/>
      </w:tblGrid>
      <w:tr>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Baseline System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S8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Δ AllSF</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Base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S8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Δ EM</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McNemar Sig.</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S1 (BM25)</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Not tested m=6</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S2 (Dense)</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70.60%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+15.00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0.516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S3 (Hybrid)</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67.20%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+18.40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33.60%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+6.20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0.0059 (Sig)</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S5 (Rerank)</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+3.00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S5_Ctrl</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38.80%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vs. S7 (Dense-2)</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72.80%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85.60%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+12.80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37.60%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39.80%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+2.20 pp</w:t>
            </w:r>
          </w:p>
        </w:tc>
        <w:tc>
          <w:tcPr>
            <w:tcW w:type="dxa" w:w="126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4"/>
              </w:rPr>
              <w:t>p = 0.851 (NS)</w:t>
            </w:r>
          </w:p>
        </w:tc>
      </w:tr>
    </w:tbl>
    <w:p>
      <w:pPr>
        <w:spacing w:before="20" w:after="100"/>
        <w:jc w:val="left"/>
      </w:pPr>
      <w:r>
        <w:rPr>
          <w:rFonts w:ascii="Times New Roman" w:hAnsi="Times New Roman"/>
          <w:i/>
          <w:color w:val="555555"/>
          <w:sz w:val="15"/>
        </w:rPr>
        <w:t>Note: McNemar p-values are continuity-corrected and adjusted under the m=6 Holm family. Note that non-significant results reflect low statistical power on modest discordant counts (15–23 pairs) rather than confirmed zero effect.</w:t>
      </w:r>
    </w:p>
    <w:p>
      <w:pPr>
        <w:spacing w:before="0" w:after="80" w:line="259" w:lineRule="auto"/>
        <w:jc w:val="both"/>
      </w:pPr>
      <w:r>
        <w:rPr>
          <w:rFonts w:ascii="Times New Roman" w:hAnsi="Times New Roman"/>
          <w:sz w:val="19"/>
        </w:rPr>
        <w:t>S8 improves AllSF@5 by +15.00 pp over dense retrieval S2, yet downstream Exact Match improves by only +3.00 pp (from 36.80% to 39.80%). With 50 wins versus 35 losses (85 discordant pairs), this difference yields p_holm = 0.5156. We emphasize that a non-significant test does not prove the absence of an effect; rather, given the modest sample size (N=500) and small discordant margin, the study is underpowered to detect small single-digit downstream EM differences.</w:t>
      </w:r>
    </w:p>
    <w:p>
      <w:pPr>
        <w:keepNext/>
        <w:spacing w:before="160" w:after="50"/>
      </w:pPr>
      <w:r>
        <w:rPr>
          <w:rFonts w:ascii="Times New Roman" w:hAnsi="Times New Roman"/>
          <w:b/>
          <w:color w:val="1E293B"/>
          <w:sz w:val="20"/>
        </w:rPr>
        <w:t>4.4 Leave-One-Out Component Ablation on S8 (Table 4)</w:t>
      </w:r>
    </w:p>
    <w:p>
      <w:pPr>
        <w:spacing w:before="0" w:after="80" w:line="259" w:lineRule="auto"/>
        <w:jc w:val="both"/>
      </w:pPr>
      <w:r>
        <w:rPr>
          <w:rFonts w:ascii="Times New Roman" w:hAnsi="Times New Roman"/>
          <w:sz w:val="19"/>
        </w:rPr>
        <w:t>To determine which architectural components justify their computational overhead, we performed a leave-one-out ablation on S8 (Table 4).</w:t>
      </w:r>
    </w:p>
    <w:p>
      <w:pPr>
        <w:keepNext/>
        <w:spacing w:before="80" w:after="40"/>
        <w:jc w:val="left"/>
      </w:pPr>
      <w:r>
        <w:rPr>
          <w:rFonts w:ascii="Times New Roman" w:hAnsi="Times New Roman"/>
          <w:b/>
          <w:color w:val="002B49"/>
          <w:sz w:val="17"/>
        </w:rPr>
        <w:t>Table 4. Leave-one-out component ablation analysis on the staged multi-hop pipeline (S8 reference).</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Ablation Variant</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Component Removed</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AllSF@5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Δ AllSF</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F1 Score</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Δ F1</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EM (%)</w:t>
            </w:r>
          </w:p>
        </w:tc>
      </w:tr>
      <w:tr>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Staged Reference</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None (Full Pipeline)</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85.60%</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51.14%</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w:t>
            </w:r>
          </w:p>
        </w:tc>
        <w:tc>
          <w:tcPr>
            <w:tcW w:type="dxa" w:w="144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39.80%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Abl_No_Reranker</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Cross-Encoder Reranker</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63.00%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-22.60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45.82%</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-5.32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35.80%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S5_Ctrl_Pool50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Hop 2 (Single-Pass)</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82.80%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-2.80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49.31%</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-1.83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38.80%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Abl_BM25_Only</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Dense (BM25 only)</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80.40%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-5.20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51.39%</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+0.25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40.40%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Abl_Dense_Only</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Minus BM25 (Dense only)</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85.60%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51.38%</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+0.24 pp</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40.00%</w:t>
            </w:r>
          </w:p>
        </w:tc>
      </w:tr>
    </w:tbl>
    <w:p>
      <w:pPr>
        <w:spacing w:before="20" w:after="100"/>
        <w:jc w:val="left"/>
      </w:pPr>
      <w:r>
        <w:rPr>
          <w:rFonts w:ascii="Times New Roman" w:hAnsi="Times New Roman"/>
          <w:i/>
          <w:color w:val="555555"/>
          <w:sz w:val="15"/>
        </w:rPr>
        <w:t>Note: Reference S8 performance is 85.60% AllSF@5, 51.14% F1, and 39.80% EM. Negative Δ indicates degradation upon removal.</w:t>
      </w:r>
    </w:p>
    <w:p>
      <w:pPr>
        <w:spacing w:before="0" w:after="80" w:line="259" w:lineRule="auto"/>
        <w:jc w:val="both"/>
      </w:pPr>
      <w:r>
        <w:rPr>
          <w:rFonts w:ascii="Times New Roman" w:hAnsi="Times New Roman"/>
          <w:sz w:val="19"/>
        </w:rPr>
        <w:t>Table 4 exposes two major findings. First, removing the cross-encoder reranker (Abl_No_Reranker) causes AllSF@5 to plummet by -22.60 pp (to 63.00%), and F1 drops by -5.32 pp. In fact, 63.00% is lower than unreranked single-pass hybrid S3 (67.20%). This reveals that iterative snippet-augmented queries retrieve substantial distractor noise that actively degrades the top-5 context unless filtered by neural cross-attention. The reranker is the true linchpin of the iterative pipeline.</w:t>
      </w:r>
    </w:p>
    <w:p>
      <w:pPr>
        <w:spacing w:before="0" w:after="80" w:line="259" w:lineRule="auto"/>
        <w:jc w:val="both"/>
      </w:pPr>
      <w:r>
        <w:rPr>
          <w:rFonts w:ascii="Times New Roman" w:hAnsi="Times New Roman"/>
          <w:sz w:val="19"/>
        </w:rPr>
        <w:t>Second, look at Abl_Dense_Only: omitting BM25 entirely results in exactly 85.60% AllSF@5 (0.00 pp change) and a negligible +0.24 pp F1 change (40.00% EM). Dense retrieval alone, once paired with cross-encoder reranking, captures all necessary evidence; BM25 lexical fusion is completely redundant once neural reranking is in place. Conversely, omitting dense retrieval (Abl_BM25_Only) drops AllSF@5 by -5.20 pp, confirming that dense representations are necessary to bridge semantic vocabulary gaps.</w:t>
      </w:r>
    </w:p>
    <w:p>
      <w:pPr>
        <w:sectPr>
          <w:type w:val="continuous"/>
          <w:pgSz w:w="12240" w:h="15840"/>
          <w:pgMar w:top="1080" w:right="1080" w:bottom="1080" w:left="1080" w:header="720" w:footer="720" w:gutter="0"/>
          <w:cols w:space="720"/>
          <w:docGrid w:linePitch="360"/>
          <w:cols w:num="2" w:space="720"/>
        </w:sectPr>
      </w:pPr>
    </w:p>
    <w:p>
      <w:pPr>
        <w:keepNext/>
        <w:spacing w:before="160" w:after="50"/>
      </w:pPr>
      <w:r>
        <w:rPr>
          <w:rFonts w:ascii="Times New Roman" w:hAnsi="Times New Roman"/>
          <w:b/>
          <w:color w:val="1E293B"/>
          <w:sz w:val="20"/>
        </w:rPr>
        <w:t>4.5 Paired Bootstrap Resampling Significance Analysis (Table 5)</w:t>
      </w:r>
    </w:p>
    <w:p>
      <w:pPr>
        <w:spacing w:before="0" w:after="80" w:line="259" w:lineRule="auto"/>
        <w:jc w:val="both"/>
      </w:pPr>
      <w:r>
        <w:rPr>
          <w:rFonts w:ascii="Times New Roman" w:hAnsi="Times New Roman"/>
          <w:sz w:val="19"/>
        </w:rPr>
        <w:t>To evaluate whether the observed point differences reflect genuine distributional separation, we executed paired bootstrap resampling (B=10,000 resamples) [15]. Table 5 presents the empirical percentile 95% confidence intervals and Holm-adjusted p-values across two families: Primary Retrieval Coverage (AllSF@5, m=8) and Downstream Token Overlap (F1, m=5).</w:t>
      </w:r>
    </w:p>
    <w:p>
      <w:pPr>
        <w:keepNext/>
        <w:spacing w:before="80" w:after="40"/>
        <w:jc w:val="left"/>
      </w:pPr>
      <w:r>
        <w:rPr>
          <w:rFonts w:ascii="Times New Roman" w:hAnsi="Times New Roman"/>
          <w:b/>
          <w:color w:val="002B49"/>
          <w:sz w:val="17"/>
        </w:rPr>
        <w:t>Table 5. Paired bootstrap hypothesis testing on S8 vs. alternative configurations (B=10,000, 95% CI, Holm-Bonferroni family-wise error control).</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20"/>
        <w:gridCol w:w="1120"/>
        <w:gridCol w:w="1120"/>
        <w:gridCol w:w="1120"/>
        <w:gridCol w:w="1120"/>
        <w:gridCol w:w="1120"/>
        <w:gridCol w:w="1120"/>
        <w:gridCol w:w="1120"/>
        <w:gridCol w:w="1120"/>
      </w:tblGrid>
      <w:tr>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Comparison Pair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Metric</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S8</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Base</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Δ Mean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95% Bootstrap CI</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Raw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Holm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Sig.</w:t>
            </w:r>
          </w:p>
        </w:tc>
      </w:tr>
      <w:tr>
        <w:tc>
          <w:tcPr>
            <w:tcW w:type="dxa" w:w="10080"/>
            <w:gridSpan w:val="9"/>
            <w:shd w:fill="E6EDF5"/>
            <w:tcMar>
              <w:top w:w="60" w:type="dxa"/>
              <w:bottom w:w="60" w:type="dxa"/>
              <w:left w:w="80" w:type="dxa"/>
              <w:right w:w="80" w:type="dxa"/>
            </w:tcMar>
            <w:vAlign w:val="center"/>
          </w:tcPr>
          <w:p>
            <w:pPr>
              <w:spacing w:before="30" w:after="30" w:line="252" w:lineRule="auto"/>
              <w:jc w:val="left"/>
            </w:pPr>
            <w:r>
              <w:rPr>
                <w:rFonts w:ascii="Times New Roman" w:hAnsi="Times New Roman"/>
                <w:b/>
                <w:sz w:val="16"/>
              </w:rPr>
              <w:t>Family 1: Primary Retrieval Coverage (AllSF@5, m=8 tests; Raw p &lt; 0.0001 represents bootstrap floor)</w:t>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S2_Dense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70.6%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[+11.2, +19.0]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S3_Hybrid</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67.2%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[+14.6, +22.2]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S5_Hybrid_Rerank</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82.6%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[+1.4, +4.8]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0.0028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S7_Iterative_Dense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72.8%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[+8.6, +17.0]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Abl_No_Reranker</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63.0%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+22.6%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[+18.6, +26.8]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Abl_BM25_Only</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80.4%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[+3.0, +7.4]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0.0008</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S5_Ctrl_Pool50</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[+0.4, +5.2]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0.0240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0.0480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Borderline</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Abl_Dense_Only</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AllSF</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85.6%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[-2.0, +2.0]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1.0000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1.0000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w:t>
            </w:r>
          </w:p>
        </w:tc>
      </w:tr>
      <w:tr>
        <w:tc>
          <w:tcPr>
            <w:tcW w:type="dxa" w:w="10080"/>
            <w:gridSpan w:val="9"/>
            <w:shd w:fill="E6EDF5"/>
            <w:tcMar>
              <w:top w:w="60" w:type="dxa"/>
              <w:bottom w:w="60" w:type="dxa"/>
              <w:left w:w="80" w:type="dxa"/>
              <w:right w:w="80" w:type="dxa"/>
            </w:tcMar>
            <w:vAlign w:val="center"/>
          </w:tcPr>
          <w:p>
            <w:pPr>
              <w:spacing w:before="30" w:after="30" w:line="252" w:lineRule="auto"/>
              <w:jc w:val="left"/>
            </w:pPr>
            <w:r>
              <w:rPr>
                <w:rFonts w:ascii="Times New Roman" w:hAnsi="Times New Roman"/>
                <w:b/>
                <w:sz w:val="16"/>
              </w:rPr>
              <w:t>Family 2: Downstream Token Overlap (F1 Score, m=5 tests)</w:t>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p>
            <w:pPr>
              <w:spacing w:before="30" w:after="30" w:line="252" w:lineRule="auto"/>
              <w:jc w:val="left"/>
            </w:pPr>
            <w:r>
              <w:rPr>
                <w:rFonts w:ascii="Times New Roman" w:hAnsi="Times New Roman"/>
                <w:b/>
                <w:sz w:val="16"/>
              </w:rPr>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S3_Hybrid</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43.9%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+7.3%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[+3.8, +10.7]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&lt; 0.0001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0.0005</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Abl_No_Reranker</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45.8%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 +8.9]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0.0024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0.0096</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S5_Hybrid_Rerank</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[+0.5, +3.6]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0.0070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0.0210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Yes</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S2_Dense</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47.1%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[+0.5, +7.6]</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0.0280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0.0560</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w:t>
            </w:r>
          </w:p>
        </w:tc>
      </w:tr>
      <w:tr>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S5_Ctrl_Pool50</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F1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51.1%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[-0.1, +3.8]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0.0594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0.0594</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w:t>
            </w:r>
          </w:p>
        </w:tc>
      </w:tr>
    </w:tbl>
    <w:p>
      <w:pPr>
        <w:spacing w:before="20" w:after="100"/>
        <w:jc w:val="left"/>
      </w:pPr>
      <w:r>
        <w:rPr>
          <w:rFonts w:ascii="Times New Roman" w:hAnsi="Times New Roman"/>
          <w:i/>
          <w:color w:val="555555"/>
          <w:sz w:val="15"/>
        </w:rPr>
        <w:t>Note: Confidence intervals derived from empirical percentiles [2.5%, 97.5%]. Raw p &lt; 0.0001 represents the bootstrap floor 1/(B+1).</w:t>
      </w:r>
    </w:p>
    <w:p>
      <w:pPr>
        <w:spacing w:before="0" w:after="80" w:line="259" w:lineRule="auto"/>
        <w:jc w:val="both"/>
      </w:pPr>
      <w:r>
        <w:rPr>
          <w:rFonts w:ascii="Times New Roman" w:hAnsi="Times New Roman"/>
          <w:sz w:val="19"/>
        </w:rPr>
        <w:t>In Family 1 (AllSF@5), S8 demonstrates statistically significant retrieval superiority over unreranked baselines (S2, S3, S7) and Abl_No_Reranker (all p_holm = 0.0008). Against the fair Pool-50 single-pass control (S5_Ctrl), S8 achieves a small retrieval gain (+2.80 pp, 95% CI [+0.40, +5.20]). In Family 2 (F1 score), S8's token-overlap improvements over single-pass dense retrieval S2 (+4.03 pp, p_holm = 0.0560) and fair single-pass control S5_Ctrl (+1.83 pp, 95% CI [-0.08, +3.82], p_holm = 0.0594) both fail to achieve statistical significance.</w:t>
      </w:r>
    </w:p>
    <w:p>
      <w:pPr>
        <w:keepNext/>
        <w:spacing w:before="160" w:after="50"/>
      </w:pPr>
      <w:r>
        <w:rPr>
          <w:rFonts w:ascii="Times New Roman" w:hAnsi="Times New Roman"/>
          <w:b/>
          <w:color w:val="1E293B"/>
          <w:sz w:val="20"/>
        </w:rPr>
        <w:t>4.6 Confirmation via McNemar's Non-Parametric Paired Test (Table 6)</w:t>
      </w:r>
    </w:p>
    <w:p>
      <w:pPr>
        <w:spacing w:before="0" w:after="80" w:line="259" w:lineRule="auto"/>
        <w:jc w:val="both"/>
      </w:pPr>
      <w:r>
        <w:rPr>
          <w:rFonts w:ascii="Times New Roman" w:hAnsi="Times New Roman"/>
          <w:sz w:val="19"/>
        </w:rPr>
        <w:t>Because Exact Match is a binary 0/1 variable, paired t-tests can yield misleading inferences [17]. Table 6 reports continuity-corrected McNemar tests across all six EM comparison pairs, ordered by rank and corrected via Holm step-down [16].</w:t>
      </w:r>
    </w:p>
    <w:p>
      <w:pPr>
        <w:keepNext/>
        <w:spacing w:before="80" w:after="40"/>
        <w:jc w:val="left"/>
      </w:pPr>
      <w:r>
        <w:rPr>
          <w:rFonts w:ascii="Times New Roman" w:hAnsi="Times New Roman"/>
          <w:b/>
          <w:color w:val="002B49"/>
          <w:sz w:val="17"/>
        </w:rPr>
        <w:t>Table 6. McNemar's paired test on Exact Match (m=6 comparisons, continuity-corrected χ², Holm step-down).</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120"/>
        <w:gridCol w:w="1120"/>
        <w:gridCol w:w="1120"/>
        <w:gridCol w:w="1120"/>
        <w:gridCol w:w="1120"/>
        <w:gridCol w:w="1120"/>
        <w:gridCol w:w="1120"/>
        <w:gridCol w:w="1120"/>
        <w:gridCol w:w="1120"/>
      </w:tblGrid>
      <w:tr>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Rank (i)</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Comparison Pair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S8 Win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Other Win</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χ²</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Raw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Multiplier</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Holm p</w:t>
            </w:r>
          </w:p>
        </w:tc>
        <w:tc>
          <w:tcPr>
            <w:tcW w:type="dxa" w:w="11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6"/>
              </w:rPr>
              <w:t>Significance</w:t>
            </w:r>
          </w:p>
        </w:tc>
      </w:tr>
      <w:tr>
        <w:tc>
          <w:tcPr>
            <w:tcW w:type="dxa" w:w="11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6"/>
              </w:rPr>
              <w:t>1</w:t>
            </w:r>
          </w:p>
        </w:tc>
        <w:tc>
          <w:tcPr>
            <w:tcW w:type="dxa" w:w="11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6"/>
              </w:rPr>
              <w:t>S8 vs S3_Hybrid</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57</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26</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10.84</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0.00099</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 6</w:t>
            </w:r>
          </w:p>
        </w:tc>
        <w:tc>
          <w:tcPr>
            <w:tcW w:type="dxa" w:w="11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6"/>
              </w:rPr>
              <w:t>0.0059</w:t>
            </w:r>
          </w:p>
        </w:tc>
        <w:tc>
          <w:tcPr>
            <w:tcW w:type="dxa" w:w="11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6"/>
              </w:rPr>
              <w:t>Statistically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2</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Abl_No_Reranker</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4.63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0.0315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0.1575</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3</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S2_Dense</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2.31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0.1289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0.5156</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4</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S7_Iterative_Dense</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49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38</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1.15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0.2837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3</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5</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S5_Hybrid_Rerank</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5</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1.07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0.3017</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r>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6</w:t>
            </w:r>
          </w:p>
        </w:tc>
        <w:tc>
          <w:tcPr>
            <w:tcW w:type="dxa" w:w="1120"/>
            <w:tcMar>
              <w:top w:w="60" w:type="dxa"/>
              <w:bottom w:w="60" w:type="dxa"/>
              <w:left w:w="80" w:type="dxa"/>
              <w:right w:w="80" w:type="dxa"/>
            </w:tcMar>
            <w:vAlign w:val="center"/>
          </w:tcPr>
          <w:p>
            <w:pPr>
              <w:spacing w:before="30" w:after="30" w:line="252" w:lineRule="auto"/>
              <w:jc w:val="left"/>
            </w:pPr>
            <w:r>
              <w:rPr>
                <w:rFonts w:ascii="Times New Roman" w:hAnsi="Times New Roman"/>
                <w:b w:val="0"/>
                <w:sz w:val="16"/>
              </w:rPr>
              <w:t>S8 vs S5_Ctrl_Pool50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14</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9</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0.70</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0.4042</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 1</w:t>
            </w:r>
          </w:p>
        </w:tc>
        <w:tc>
          <w:tcPr>
            <w:tcW w:type="dxa" w:w="11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6"/>
              </w:rPr>
              <w:t>0.8511</w:t>
            </w:r>
          </w:p>
        </w:tc>
        <w:tc>
          <w:tcPr>
            <w:tcW w:type="dxa" w:w="11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6"/>
              </w:rPr>
              <w:t>Not Significant</w:t>
            </w:r>
          </w:p>
        </w:tc>
      </w:tr>
    </w:tbl>
    <w:p>
      <w:pPr>
        <w:spacing w:before="20" w:after="100"/>
        <w:jc w:val="left"/>
      </w:pPr>
      <w:r>
        <w:rPr>
          <w:rFonts w:ascii="Times New Roman" w:hAnsi="Times New Roman"/>
          <w:i/>
          <w:color w:val="555555"/>
          <w:sz w:val="15"/>
        </w:rPr>
        <w:t>Note: Continuity correction (|b - c| - 1)^2 / (b + c) applied to discordant pairs. Multipliers enforce step-down Holm correction.</w:t>
      </w:r>
    </w:p>
    <w:p>
      <w:pPr>
        <w:spacing w:before="0" w:after="80" w:line="259" w:lineRule="auto"/>
        <w:jc w:val="both"/>
      </w:pPr>
      <w:r>
        <w:rPr>
          <w:rFonts w:ascii="Times New Roman" w:hAnsi="Times New Roman"/>
          <w:sz w:val="19"/>
        </w:rPr>
        <w:t>Across all six binary EM comparisons, S8 achieves a statistically significant accuracy gain solely against unreranked hybrid retrieval S3 (57 wins vs 26 losses, chi2=10.84, p_holm = 0.0059). Against Abl_No_Reranker, S8's raw p-value of 0.0315 is adjusted by the Holm multiplier to p_holm = 0.1575. Against dense retrieval S2, S8 produces 50 wins and 35 losses, yielding p_holm = 0.5156. Finally, against fair single-pass control S5_Ctrl, S8 produces 14 wins against 9 losses (a net advantage of 5 questions out of 500), yielding chi2=0.70 and p_holm = 0.8511.</w:t>
      </w:r>
    </w:p>
    <w:p>
      <w:pPr>
        <w:sectPr>
          <w:type w:val="continuous"/>
          <w:pgSz w:w="12240" w:h="15840"/>
          <w:pgMar w:top="1080" w:right="1080" w:bottom="1080" w:left="1080" w:header="720" w:footer="720" w:gutter="0"/>
          <w:cols w:space="720"/>
          <w:docGrid w:linePitch="360"/>
          <w:cols w:num="2" w:space="720"/>
          <w:cols w:num="1"/>
        </w:sectPr>
      </w:pPr>
    </w:p>
    <w:p>
      <w:pPr>
        <w:keepNext/>
        <w:spacing w:before="160" w:after="50"/>
      </w:pPr>
      <w:r>
        <w:rPr>
          <w:rFonts w:ascii="Times New Roman" w:hAnsi="Times New Roman"/>
          <w:b/>
          <w:color w:val="1E293B"/>
          <w:sz w:val="20"/>
        </w:rPr>
        <w:t>4.7 Multi-Retriever Depth Curves across K ∈ {5, 10, 25, 50} (Table 7 &amp; Figure 3)</w:t>
      </w:r>
    </w:p>
    <w:p>
      <w:pPr>
        <w:spacing w:before="0" w:after="80" w:line="259" w:lineRule="auto"/>
        <w:jc w:val="both"/>
      </w:pPr>
      <w:r>
        <w:rPr>
          <w:rFonts w:ascii="Times New Roman" w:hAnsi="Times New Roman"/>
          <w:sz w:val="19"/>
        </w:rPr>
        <w:t>To evaluate whether retrieval saturation occurs at deeper ranks, we analyze AllSF recall across depths K in {5, 10, 25, 50}, broken down by question type: Bridge (N=404) vs. Comparison (N=96) (Table 7).</w:t>
      </w:r>
    </w:p>
    <w:p>
      <w:pPr>
        <w:keepNext/>
        <w:spacing w:before="80" w:after="40"/>
        <w:jc w:val="left"/>
      </w:pPr>
      <w:r>
        <w:rPr>
          <w:rFonts w:ascii="Times New Roman" w:hAnsi="Times New Roman"/>
          <w:b/>
          <w:color w:val="002B49"/>
          <w:sz w:val="17"/>
        </w:rPr>
        <w:t>Table 7. Supporting facts recall curves across retrieval depths on the 19,260-passage corpus.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440"/>
        <w:gridCol w:w="1440"/>
        <w:gridCol w:w="1440"/>
        <w:gridCol w:w="1440"/>
        <w:gridCol w:w="1440"/>
        <w:gridCol w:w="1440"/>
        <w:gridCol w:w="1440"/>
      </w:tblGrid>
      <w:tr>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Retriever</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Subgroup</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K=10</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K=25</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K=50</w:t>
            </w:r>
          </w:p>
        </w:tc>
        <w:tc>
          <w:tcPr>
            <w:tcW w:type="dxa" w:w="144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4"/>
              </w:rPr>
              <w:t>Saturation Behavior</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BM25 Sparse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44.06%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60.64%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72.28%</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77.72%</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Missing lexical bridge tokens</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BM25 Sparse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58.33%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75.00%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88.54%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94.79%</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High saturation at K=50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Dense BGE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63.86%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74.50%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82.67%</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88.37%</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Beats Hybrid at K=5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Dense BGE</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98.96%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Ceiling reached at K=10</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Hybrid RRF</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Bridge (N=404)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61.14%</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76.73%</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84.65%</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88.12%</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Underperforms Dense at K=5</w:t>
            </w:r>
          </w:p>
        </w:tc>
      </w:tr>
      <w:tr>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Hybrid RRF</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Comparison (N=96)</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97.92%</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right"/>
            </w:pPr>
            <w:r>
              <w:rPr>
                <w:rFonts w:ascii="Times New Roman" w:hAnsi="Times New Roman"/>
                <w:b w:val="0"/>
                <w:sz w:val="14"/>
              </w:rPr>
              <w:t>100.0%</w:t>
            </w:r>
          </w:p>
        </w:tc>
        <w:tc>
          <w:tcPr>
            <w:tcW w:type="dxa" w:w="1440"/>
            <w:tcMar>
              <w:top w:w="60" w:type="dxa"/>
              <w:bottom w:w="60" w:type="dxa"/>
              <w:left w:w="80" w:type="dxa"/>
              <w:right w:w="80" w:type="dxa"/>
            </w:tcMar>
            <w:vAlign w:val="center"/>
          </w:tcPr>
          <w:p>
            <w:pPr>
              <w:spacing w:before="30" w:after="30" w:line="252" w:lineRule="auto"/>
              <w:jc w:val="left"/>
            </w:pPr>
            <w:r>
              <w:rPr>
                <w:rFonts w:ascii="Times New Roman" w:hAnsi="Times New Roman"/>
                <w:b w:val="0"/>
                <w:sz w:val="14"/>
              </w:rPr>
              <w:t>Ceiling reached at K=10</w:t>
            </w:r>
          </w:p>
        </w:tc>
      </w:tr>
    </w:tbl>
    <w:p>
      <w:pPr>
        <w:spacing w:before="20" w:after="100"/>
        <w:jc w:val="left"/>
      </w:pPr>
      <w:r>
        <w:rPr>
          <w:rFonts w:ascii="Times New Roman" w:hAnsi="Times New Roman"/>
          <w:i/>
          <w:color w:val="555555"/>
          <w:sz w:val="15"/>
        </w:rPr>
        <w:t>Note: Evaluated on partitioned subsets. Weighted average across subgroups matches Table 2 within 1.0 pp due to RRF score tie-breaking differences between subgroup runs and the combined pool.</w:t>
      </w:r>
    </w:p>
    <w:p>
      <w:pPr>
        <w:spacing w:before="0" w:after="80" w:line="259" w:lineRule="auto"/>
        <w:jc w:val="both"/>
      </w:pPr>
      <w:r>
        <w:rPr>
          <w:rFonts w:ascii="Times New Roman" w:hAnsi="Times New Roman"/>
          <w:sz w:val="19"/>
        </w:rPr>
        <w:t>Table 7 reveals sharp behavioral divergences between query types. Comparison questions are straightforward for dense representations: Dense BGE-Small retrieves all supporting facts for 98.96% of comparison questions at K=5, and reaches 100.00% at K=10. This occurs because comparison questions explicitly name both entities in the prompt, allowing single-pass dense search to match both simultaneously [4].</w:t>
      </w:r>
    </w:p>
    <w:p>
      <w:pPr>
        <w:spacing w:before="0" w:after="80" w:line="259" w:lineRule="auto"/>
        <w:jc w:val="both"/>
      </w:pPr>
      <w:r>
        <w:rPr>
          <w:rFonts w:ascii="Times New Roman" w:hAnsi="Times New Roman"/>
          <w:sz w:val="19"/>
        </w:rPr>
        <w:t>Bridge questions, by contrast, exhibit a severe lexical bottleneck. BM25 reaches only 44.06% AllSF@5 on Bridge questions because the second fact's entity is unmentioned in the original prompt. Hybrid RRF actually underperforms pure Dense retrieval on Bridge questions at K=5 (61.14% vs 63.86%), because lexical fusion injects keyword-heavy distractors that displace relevant semantic matches.</w:t>
      </w:r>
    </w:p>
    <w:p>
      <w:pPr>
        <w:keepNext/>
        <w:spacing w:before="160" w:after="50"/>
      </w:pPr>
      <w:r>
        <w:rPr>
          <w:rFonts w:ascii="Times New Roman" w:hAnsi="Times New Roman"/>
          <w:b/>
          <w:color w:val="1E293B"/>
          <w:sz w:val="20"/>
        </w:rPr>
        <w:t>4.8 Evidence Recovery Funnel and Paired 2×2 Contingency (Table 8 &amp; Figure 4)</w:t>
      </w:r>
    </w:p>
    <w:p>
      <w:pPr>
        <w:spacing w:before="0" w:after="80" w:line="259" w:lineRule="auto"/>
        <w:jc w:val="both"/>
      </w:pPr>
      <w:r>
        <w:rPr>
          <w:rFonts w:ascii="Times New Roman" w:hAnsi="Times New Roman"/>
          <w:sz w:val="19"/>
        </w:rPr>
        <w:t>Where does the second supporting fact actually get captured? Table 8 tracks the evidence discovery funnel across the 500 questions, accompanied by the paired 2×2 contingency matrix against the fair single-pass control S5_Ctrl (Figure 4).</w:t>
      </w:r>
    </w:p>
    <w:p>
      <w:pPr>
        <w:keepNext/>
        <w:spacing w:before="80" w:after="40"/>
        <w:jc w:val="left"/>
      </w:pPr>
      <w:r>
        <w:rPr>
          <w:rFonts w:ascii="Times New Roman" w:hAnsi="Times New Roman"/>
          <w:b/>
          <w:color w:val="002B49"/>
          <w:sz w:val="17"/>
        </w:rPr>
        <w:t>Table 8. Multi-hop evidence recovery funnel across N=500 benchmark questions.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520"/>
        <w:gridCol w:w="2520"/>
        <w:gridCol w:w="2520"/>
        <w:gridCol w:w="2520"/>
      </w:tblGrid>
      <w:tr>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Evidence Discovery Stage</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Count</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Share (%)</w:t>
            </w:r>
          </w:p>
        </w:tc>
        <w:tc>
          <w:tcPr>
            <w:tcW w:type="dxa" w:w="252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Stage Meaning &amp; Bottleneck Mechanism</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1 Pool Capture</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438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87.60%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Both gold facts discoverable in initial 25 hybrid pool</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2 Rescued Evidence</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32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6.40%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Fact 2 missing in Hop 1 pool; surfaced by iterative query</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Total Pool Capture</w:t>
            </w:r>
          </w:p>
        </w:tc>
        <w:tc>
          <w:tcPr>
            <w:tcW w:type="dxa" w:w="25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470 / 500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94.00%</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Upper evidence ceiling captured across both pools</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Top-5 Truncation Loss</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42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8.40%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Lost during cross-encoder truncation (470 → 428)</w:t>
            </w:r>
          </w:p>
        </w:tc>
      </w:tr>
      <w:tr>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Never Retrieved Floor</w:t>
            </w:r>
          </w:p>
        </w:tc>
        <w:tc>
          <w:tcPr>
            <w:tcW w:type="dxa" w:w="2520"/>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30 / 500</w:t>
            </w:r>
          </w:p>
        </w:tc>
        <w:tc>
          <w:tcPr>
            <w:tcW w:type="dxa" w:w="252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6.00%</w:t>
            </w:r>
          </w:p>
        </w:tc>
        <w:tc>
          <w:tcPr>
            <w:tcW w:type="dxa" w:w="252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Neither hop retrieved both facts from corpus</w:t>
            </w:r>
          </w:p>
        </w:tc>
      </w:tr>
      <w:tr>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Final S8 Top-5 Coverage</w:t>
            </w:r>
          </w:p>
        </w:tc>
        <w:tc>
          <w:tcPr>
            <w:tcW w:type="dxa" w:w="2520"/>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428 / 500</w:t>
            </w:r>
          </w:p>
        </w:tc>
        <w:tc>
          <w:tcPr>
            <w:tcW w:type="dxa" w:w="252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85.60%</w:t>
            </w:r>
          </w:p>
        </w:tc>
        <w:tc>
          <w:tcPr>
            <w:tcW w:type="dxa" w:w="252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Final context fed to reader containing all facts</w:t>
            </w:r>
          </w:p>
        </w:tc>
      </w:tr>
    </w:tbl>
    <w:p>
      <w:pPr>
        <w:spacing w:before="20" w:after="100"/>
        <w:jc w:val="left"/>
      </w:pPr>
      <w:r>
        <w:rPr>
          <w:rFonts w:ascii="Times New Roman" w:hAnsi="Times New Roman"/>
          <w:i/>
          <w:color w:val="555555"/>
          <w:sz w:val="15"/>
        </w:rPr>
        <w:t>Note: Sum of Hop 1 (438) + Hop 2 Rescued (32) = 470 pool capture. Truncation loss drops pool to 428 final hits.</w:t>
      </w:r>
    </w:p>
    <w:p>
      <w:pPr>
        <w:spacing w:before="0" w:after="80" w:line="259" w:lineRule="auto"/>
        <w:jc w:val="both"/>
      </w:pPr>
      <w:r>
        <w:rPr>
          <w:rFonts w:ascii="Times New Roman" w:hAnsi="Times New Roman"/>
          <w:sz w:val="19"/>
        </w:rPr>
        <w:t>To inspect the exact paired behavior of Hop-2 retrieval, consider the 2×2 contingency matrix against S5_Ctrl Pool-50 (Figure 4):</w:t>
        <w:br/>
        <w:t>• Both Hit (S8=1, Ctrl=1): 402 questions (80.40%)</w:t>
        <w:br/>
        <w:t>• S8 Pipeline Win (S8=1, Ctrl=0): 26 questions (5.20%)</w:t>
        <w:br/>
        <w:t>• S5_Ctrl Control Win (S8=0, Ctrl=1): 12 questions (2.40%)</w:t>
        <w:br/>
        <w:t>• Neither Hit (S8=0, Ctrl=0): 60 questions (12.00%)</w:t>
        <w:br/>
        <w:t>Total Hits: S8 = 402 + 26 = 428 (85.60%); S5_Ctrl = 402 + 12 = 414 (82.80%).</w:t>
      </w:r>
    </w:p>
    <w:p>
      <w:pPr>
        <w:spacing w:before="0" w:after="80" w:line="259" w:lineRule="auto"/>
        <w:jc w:val="both"/>
      </w:pPr>
      <w:r>
        <w:rPr>
          <w:rFonts w:ascii="Times New Roman" w:hAnsi="Times New Roman"/>
          <w:sz w:val="19"/>
        </w:rPr>
        <w:t>This paired breakdown shows that while S8 gains 26 questions where Hop 2 successfully surfaced Fact 2, it simultaneously degrades 12 questions that S5_Ctrl captured cleanly. In those 12 cases, the iterative query introduced irrelevant distractor passages that displaced gold facts during reranking. The net paired gain is exactly 26 − 12 = +14 questions (+2.80 pp).</w:t>
      </w:r>
    </w:p>
    <w:p>
      <w:pPr>
        <w:keepNext/>
        <w:spacing w:before="160" w:after="50"/>
      </w:pPr>
      <w:r>
        <w:rPr>
          <w:rFonts w:ascii="Times New Roman" w:hAnsi="Times New Roman"/>
          <w:b/>
          <w:color w:val="1E293B"/>
          <w:sz w:val="20"/>
        </w:rPr>
        <w:t>4.9 Generator Capacity Diagnostic: 3B vs. 7B Parameter Scaling (Table 9 &amp; Figure 5)</w:t>
      </w:r>
    </w:p>
    <w:p>
      <w:pPr>
        <w:spacing w:before="0" w:after="80" w:line="259" w:lineRule="auto"/>
        <w:jc w:val="both"/>
      </w:pPr>
      <w:r>
        <w:rPr>
          <w:rFonts w:ascii="Times New Roman" w:hAnsi="Times New Roman"/>
          <w:sz w:val="19"/>
        </w:rPr>
        <w:t>To test whether downstream accuracy is constrained by retrieved evidence or reader reasoning capacity, we scaled the generator from Qwen2.5-3B to Qwen2.5-7B [18], evaluating both models on identical retrieved contexts (Table 9).</w:t>
      </w:r>
    </w:p>
    <w:p>
      <w:pPr>
        <w:keepNext/>
        <w:spacing w:before="80" w:after="40"/>
        <w:jc w:val="left"/>
      </w:pPr>
      <w:r>
        <w:rPr>
          <w:rFonts w:ascii="Times New Roman" w:hAnsi="Times New Roman"/>
          <w:b/>
          <w:color w:val="002B49"/>
          <w:sz w:val="17"/>
        </w:rPr>
        <w:t>Table 9. Generator capacity diagnostic: Paired comparison of 3B vs. 7B reader scaling on identical contexts.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1260"/>
        <w:gridCol w:w="1260"/>
        <w:gridCol w:w="1260"/>
        <w:gridCol w:w="1260"/>
        <w:gridCol w:w="1260"/>
        <w:gridCol w:w="1260"/>
        <w:gridCol w:w="1260"/>
        <w:gridCol w:w="1260"/>
      </w:tblGrid>
      <w:tr>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Comparison Pair</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Evidence Fed</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Metric</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3B Score</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7B Score</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Net Gain</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95% Bootstrap CI</w:t>
            </w:r>
          </w:p>
        </w:tc>
        <w:tc>
          <w:tcPr>
            <w:tcW w:type="dxa" w:w="1260"/>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Holm p</w:t>
            </w:r>
          </w:p>
        </w:tc>
      </w:tr>
      <w:tr>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S8_7B vs S8_3B</w:t>
            </w:r>
          </w:p>
        </w:tc>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S8 Retrieved Passages</w:t>
            </w:r>
          </w:p>
        </w:tc>
        <w:tc>
          <w:tcPr>
            <w:tcW w:type="dxa" w:w="1260"/>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EM</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39.80%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52.00%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+12.20 pp</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[+8.20, +16.20]</w:t>
            </w:r>
          </w:p>
        </w:tc>
        <w:tc>
          <w:tcPr>
            <w:tcW w:type="dxa" w:w="1260"/>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S8_7B vs S8_3B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S8 Retrieved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51.14%</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64.32%</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+13.18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[+9.64, +16.80]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S9_7B vs S9_3B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Gold Oracle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EM</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53.00%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60.20%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+7.20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[+3.60, +10.80]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r>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S9_7B vs S9_3B</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Gold Oracle Passages</w:t>
            </w:r>
          </w:p>
        </w:tc>
        <w:tc>
          <w:tcPr>
            <w:tcW w:type="dxa" w:w="1260"/>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F1</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66.80%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75.10%</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+8.30 pp</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[+5.13, +11.55]</w:t>
            </w:r>
          </w:p>
        </w:tc>
        <w:tc>
          <w:tcPr>
            <w:tcW w:type="dxa" w:w="1260"/>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0.0004 (Yes)</w:t>
            </w:r>
          </w:p>
        </w:tc>
      </w:tr>
    </w:tbl>
    <w:p>
      <w:pPr>
        <w:spacing w:before="20" w:after="100"/>
        <w:jc w:val="left"/>
      </w:pPr>
      <w:r>
        <w:rPr>
          <w:rFonts w:ascii="Times New Roman" w:hAnsi="Times New Roman"/>
          <w:i/>
          <w:color w:val="555555"/>
          <w:sz w:val="15"/>
        </w:rPr>
        <w:t>Note: Evaluated across N=500 questions. Both 3B and 7B models evaluated on identical retrieved passage lists.</w:t>
      </w:r>
    </w:p>
    <w:p>
      <w:pPr>
        <w:spacing w:before="0" w:after="80" w:line="259" w:lineRule="auto"/>
        <w:jc w:val="both"/>
      </w:pPr>
      <w:r>
        <w:rPr>
          <w:rFonts w:ascii="Times New Roman" w:hAnsi="Times New Roman"/>
          <w:sz w:val="19"/>
        </w:rPr>
        <w:t>Table 9 presents the most substantial performance change in this study. When evaluated on the exact same retrieved evidence from S8, scaling the reader from 3B to 7B increases Exact Match by +12.20 pp (from 39.80% to 52.00%, p_holm = 0.0004) and F1 by +13.18 pp (from 51.14% to 64.32%). On identical evidence, the 7B reader reaches 52.00% EM, comparable to the 3B reader's gold-evidence score of 53.00% EM.</w:t>
      </w:r>
    </w:p>
    <w:p>
      <w:pPr>
        <w:spacing w:before="0" w:after="80" w:line="259" w:lineRule="auto"/>
        <w:jc w:val="both"/>
      </w:pPr>
      <w:r>
        <w:rPr>
          <w:rFonts w:ascii="Times New Roman" w:hAnsi="Times New Roman"/>
          <w:sz w:val="19"/>
        </w:rPr>
        <w:t>We note an important caveat: part of this +12.20 pp increase may stem from superior adherence to concise formatting instructions rather than pure multi-hop reasoning. As detailed in our error analysis, 36.70% of 3B errors are surface-form artifacts; larger models often follow output constraints more reliably, partially mitigating formatting penalties.</w:t>
      </w:r>
    </w:p>
    <w:p>
      <w:pPr>
        <w:keepNext/>
        <w:spacing w:before="160" w:after="50"/>
      </w:pPr>
      <w:r>
        <w:rPr>
          <w:rFonts w:ascii="Times New Roman" w:hAnsi="Times New Roman"/>
          <w:b/>
          <w:color w:val="1E293B"/>
          <w:sz w:val="20"/>
        </w:rPr>
        <w:t>4.10 Computational Latency Profiling (Table 10)</w:t>
      </w:r>
    </w:p>
    <w:p>
      <w:pPr>
        <w:spacing w:before="0" w:after="80" w:line="259" w:lineRule="auto"/>
        <w:jc w:val="both"/>
      </w:pPr>
      <w:r>
        <w:rPr>
          <w:rFonts w:ascii="Times New Roman" w:hAnsi="Times New Roman"/>
          <w:sz w:val="19"/>
        </w:rPr>
        <w:t>Table 10 benchmarks the runtime latency and throughput of each retrieval stack module on dual NVIDIA Tesla T4 GPUs (measured across 30 queries after 5 warm-up queries).</w:t>
      </w:r>
    </w:p>
    <w:p>
      <w:pPr>
        <w:keepNext/>
        <w:spacing w:before="80" w:after="40"/>
        <w:jc w:val="left"/>
      </w:pPr>
      <w:r>
        <w:rPr>
          <w:rFonts w:ascii="Times New Roman" w:hAnsi="Times New Roman"/>
          <w:b/>
          <w:color w:val="002B49"/>
          <w:sz w:val="17"/>
        </w:rPr>
        <w:t>Table 10. Computational latency and throughput profiling of retrieval modules on dual NVIDIA Tesla T4 GPUs.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016"/>
        <w:gridCol w:w="2016"/>
        <w:gridCol w:w="2016"/>
        <w:gridCol w:w="2016"/>
        <w:gridCol w:w="2016"/>
      </w:tblGrid>
      <w:tr>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Retrieval Stage Module</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Underlying Technology</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Mean Latency</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Throughput</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Stack Share</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Dense Embedding Search</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BAAI/bge-small-en-v1.5 + Dot Product</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0.0139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71.9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2.1%</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BM25 Sparse Retrieval</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RankBM25 Okapi (Inverted Index)</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0.0724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13.8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11.0%</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Hybrid RRF Fusion</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Reciprocal Rank Fusion (k=60)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0.1169 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8.5 qps</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17.8%</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Cross-Encoder Reranker</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BAAI/bge-reranker-base (max_len=256)</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0.4560 s</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2.2 qps</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69.1% (Dominant)</w:t>
            </w:r>
          </w:p>
        </w:tc>
      </w:tr>
    </w:tbl>
    <w:p>
      <w:pPr>
        <w:spacing w:before="20" w:after="100"/>
        <w:jc w:val="left"/>
      </w:pPr>
      <w:r>
        <w:rPr>
          <w:rFonts w:ascii="Times New Roman" w:hAnsi="Times New Roman"/>
          <w:i/>
          <w:color w:val="555555"/>
          <w:sz w:val="15"/>
        </w:rPr>
        <w:t>Note: Profiles retrieval stack exclusively. Reader generation adds ~0.45 s/query for 3B and ~0.91 s/query for 7B.</w:t>
      </w:r>
    </w:p>
    <w:p>
      <w:pPr>
        <w:spacing w:before="0" w:after="80" w:line="259" w:lineRule="auto"/>
        <w:jc w:val="both"/>
      </w:pPr>
      <w:r>
        <w:rPr>
          <w:rFonts w:ascii="Times New Roman" w:hAnsi="Times New Roman"/>
          <w:sz w:val="19"/>
        </w:rPr>
        <w:t>Cross-encoder reranking accounts for 69.1% of total retrieval latency (0.4560 seconds per query, achieving 2.2 qps), representing a 33× latency penalty relative to dense vector search (0.0139 s, 71.9 qps). While the reranker delivers substantial recall (+15.40 pp AllSF@5), its quadratic token-level attention imposes significant computational costs [14]. Reader generation adds an additional ~0.45 s for 3B and ~0.91 s for 7B.</w:t>
      </w:r>
    </w:p>
    <w:p>
      <w:pPr>
        <w:keepNext/>
        <w:spacing w:before="160" w:after="50"/>
      </w:pPr>
      <w:r>
        <w:rPr>
          <w:rFonts w:ascii="Times New Roman" w:hAnsi="Times New Roman"/>
          <w:b/>
          <w:color w:val="1E293B"/>
          <w:sz w:val="20"/>
        </w:rPr>
        <w:t>4.11 Qualitative Error Analysis (Table 11 &amp; Figure 6)</w:t>
      </w:r>
    </w:p>
    <w:p>
      <w:pPr>
        <w:spacing w:before="0" w:after="80" w:line="259" w:lineRule="auto"/>
        <w:jc w:val="both"/>
      </w:pPr>
      <w:r>
        <w:rPr>
          <w:rFonts w:ascii="Times New Roman" w:hAnsi="Times New Roman"/>
          <w:sz w:val="19"/>
        </w:rPr>
        <w:t>To examine why downstream generation stalls even when supporting facts are retrieved, we conducted a manual audit of 60 randomly sampled failure cases from S8 (Table 11), computing Wilson score 95% confidence intervals [22].</w:t>
      </w:r>
    </w:p>
    <w:p>
      <w:pPr>
        <w:keepNext/>
        <w:spacing w:before="80" w:after="40"/>
        <w:jc w:val="left"/>
      </w:pPr>
      <w:r>
        <w:rPr>
          <w:rFonts w:ascii="Times New Roman" w:hAnsi="Times New Roman"/>
          <w:b/>
          <w:color w:val="002B49"/>
          <w:sz w:val="17"/>
        </w:rPr>
        <w:t>Table 11. Hand-verified qualitative error breakdown across N=60 randomly sampled S8 failure cases.</w:t>
      </w:r>
    </w:p>
    <w:tbl>
      <w:tblPr>
        <w:tblW w:type="auto" w:w="0"/>
        <w:jc w:val="center"/>
        <w:tblLook w:firstColumn="1" w:firstRow="1" w:lastColumn="0" w:lastRow="0" w:noHBand="0" w:noVBand="1" w:val="04A0"/>
        <w:tblBorders>
          <w:top w:val="single" w:sz="6" w:space="0" w:color="003366"/>
          <w:bottom w:val="single" w:sz="8" w:space="0" w:color="003366"/>
          <w:insideH w:val="single" w:sz="4" w:space="0" w:color="D3D3D3"/>
          <w:insideV w:val="none"/>
          <w:left w:val="none"/>
          <w:right w:val="none"/>
        </w:tblBorders>
      </w:tblPr>
      <w:tblGrid>
        <w:gridCol w:w="2016"/>
        <w:gridCol w:w="2016"/>
        <w:gridCol w:w="2016"/>
        <w:gridCol w:w="2016"/>
        <w:gridCol w:w="2016"/>
      </w:tblGrid>
      <w:tr>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Failure Category Tag</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Freq.</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Share (%)</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Wilson 95% CI</w:t>
            </w:r>
          </w:p>
        </w:tc>
        <w:tc>
          <w:tcPr>
            <w:tcW w:type="dxa" w:w="2016"/>
            <w:shd w:fill="003366"/>
            <w:tcMar>
              <w:top w:w="60" w:type="dxa"/>
              <w:bottom w:w="60" w:type="dxa"/>
              <w:left w:w="80" w:type="dxa"/>
              <w:right w:w="80" w:type="dxa"/>
            </w:tcMar>
            <w:vAlign w:val="center"/>
          </w:tcPr>
          <w:p>
            <w:pPr>
              <w:spacing w:before="30" w:after="30" w:line="252" w:lineRule="auto"/>
              <w:jc w:val="center"/>
            </w:pPr>
            <w:r>
              <w:rPr>
                <w:rFonts w:ascii="Times New Roman" w:hAnsi="Times New Roman"/>
                <w:b/>
                <w:color w:val="FFFFFF"/>
                <w:sz w:val="15"/>
              </w:rPr>
              <w:t>Primary Failure Mechanism</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Format / Metric Artifact</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22 / 60</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36.70%</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[25.5%, 49.3%]</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Semantically correct entity penalized by exact match string formatting</w:t>
            </w:r>
          </w:p>
        </w:tc>
      </w:tr>
      <w:tr>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Reasoning Failure under Evidence</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19 / 60</w:t>
            </w:r>
          </w:p>
        </w:tc>
        <w:tc>
          <w:tcPr>
            <w:tcW w:type="dxa" w:w="2016"/>
            <w:shd w:fill="F0F4F8"/>
            <w:tcMar>
              <w:top w:w="60" w:type="dxa"/>
              <w:bottom w:w="60" w:type="dxa"/>
              <w:left w:w="80" w:type="dxa"/>
              <w:right w:w="80" w:type="dxa"/>
            </w:tcMar>
            <w:vAlign w:val="center"/>
          </w:tcPr>
          <w:p>
            <w:pPr>
              <w:spacing w:before="30" w:after="30" w:line="252" w:lineRule="auto"/>
              <w:jc w:val="right"/>
            </w:pPr>
            <w:r>
              <w:rPr>
                <w:rFonts w:ascii="Times New Roman" w:hAnsi="Times New Roman"/>
                <w:b/>
                <w:sz w:val="15"/>
              </w:rPr>
              <w:t>31.70%</w:t>
            </w:r>
          </w:p>
        </w:tc>
        <w:tc>
          <w:tcPr>
            <w:tcW w:type="dxa" w:w="2016"/>
            <w:shd w:fill="F0F4F8"/>
            <w:tcMar>
              <w:top w:w="60" w:type="dxa"/>
              <w:bottom w:w="60" w:type="dxa"/>
              <w:left w:w="80" w:type="dxa"/>
              <w:right w:w="80" w:type="dxa"/>
            </w:tcMar>
            <w:vAlign w:val="center"/>
          </w:tcPr>
          <w:p>
            <w:pPr>
              <w:spacing w:before="30" w:after="30" w:line="252" w:lineRule="auto"/>
              <w:jc w:val="center"/>
            </w:pPr>
            <w:r>
              <w:rPr>
                <w:rFonts w:ascii="Times New Roman" w:hAnsi="Times New Roman"/>
                <w:b/>
                <w:sz w:val="15"/>
              </w:rPr>
              <w:t>[21.2%, 44.2%]</w:t>
            </w:r>
          </w:p>
        </w:tc>
        <w:tc>
          <w:tcPr>
            <w:tcW w:type="dxa" w:w="2016"/>
            <w:shd w:fill="F0F4F8"/>
            <w:tcMar>
              <w:top w:w="60" w:type="dxa"/>
              <w:bottom w:w="60" w:type="dxa"/>
              <w:left w:w="80" w:type="dxa"/>
              <w:right w:w="80" w:type="dxa"/>
            </w:tcMar>
            <w:vAlign w:val="center"/>
          </w:tcPr>
          <w:p>
            <w:pPr>
              <w:spacing w:before="30" w:after="30" w:line="252" w:lineRule="auto"/>
              <w:jc w:val="left"/>
            </w:pPr>
            <w:r>
              <w:rPr>
                <w:rFonts w:ascii="Times New Roman" w:hAnsi="Times New Roman"/>
                <w:b/>
                <w:sz w:val="15"/>
              </w:rPr>
              <w:t>Gold evidence in prompt; 3B model fails logical constraint deduction</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Retrieval Gap (Missing Fact 2)</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13 / 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21.70%</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[13.1%, 33.6%]</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Hop 1 retrieved Fact 1, but Hop 2 query failed to bridge to Fact 2</w:t>
            </w:r>
          </w:p>
        </w:tc>
      </w:tr>
      <w:tr>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Span Extraction Error</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6 / 60</w:t>
            </w:r>
          </w:p>
        </w:tc>
        <w:tc>
          <w:tcPr>
            <w:tcW w:type="dxa" w:w="2016"/>
            <w:tcMar>
              <w:top w:w="60" w:type="dxa"/>
              <w:bottom w:w="60" w:type="dxa"/>
              <w:left w:w="80" w:type="dxa"/>
              <w:right w:w="80" w:type="dxa"/>
            </w:tcMar>
            <w:vAlign w:val="center"/>
          </w:tcPr>
          <w:p>
            <w:pPr>
              <w:spacing w:before="30" w:after="30" w:line="252" w:lineRule="auto"/>
              <w:jc w:val="right"/>
            </w:pPr>
            <w:r>
              <w:rPr>
                <w:rFonts w:ascii="Times New Roman" w:hAnsi="Times New Roman"/>
                <w:b w:val="0"/>
                <w:sz w:val="15"/>
              </w:rPr>
              <w:t>10.00%</w:t>
            </w:r>
          </w:p>
        </w:tc>
        <w:tc>
          <w:tcPr>
            <w:tcW w:type="dxa" w:w="2016"/>
            <w:tcMar>
              <w:top w:w="60" w:type="dxa"/>
              <w:bottom w:w="60" w:type="dxa"/>
              <w:left w:w="80" w:type="dxa"/>
              <w:right w:w="80" w:type="dxa"/>
            </w:tcMar>
            <w:vAlign w:val="center"/>
          </w:tcPr>
          <w:p>
            <w:pPr>
              <w:spacing w:before="30" w:after="30" w:line="252" w:lineRule="auto"/>
              <w:jc w:val="center"/>
            </w:pPr>
            <w:r>
              <w:rPr>
                <w:rFonts w:ascii="Times New Roman" w:hAnsi="Times New Roman"/>
                <w:b w:val="0"/>
                <w:sz w:val="15"/>
              </w:rPr>
              <w:t>[4.7%, 20.1%]</w:t>
            </w:r>
          </w:p>
        </w:tc>
        <w:tc>
          <w:tcPr>
            <w:tcW w:type="dxa" w:w="2016"/>
            <w:tcMar>
              <w:top w:w="60" w:type="dxa"/>
              <w:bottom w:w="60" w:type="dxa"/>
              <w:left w:w="80" w:type="dxa"/>
              <w:right w:w="80" w:type="dxa"/>
            </w:tcMar>
            <w:vAlign w:val="center"/>
          </w:tcPr>
          <w:p>
            <w:pPr>
              <w:spacing w:before="30" w:after="30" w:line="252" w:lineRule="auto"/>
              <w:jc w:val="left"/>
            </w:pPr>
            <w:r>
              <w:rPr>
                <w:rFonts w:ascii="Times New Roman" w:hAnsi="Times New Roman"/>
                <w:b w:val="0"/>
                <w:sz w:val="15"/>
              </w:rPr>
              <w:t>Both facts retrieved; generator extracted adjacent distractor entity</w:t>
            </w:r>
          </w:p>
        </w:tc>
      </w:tr>
    </w:tbl>
    <w:p>
      <w:pPr>
        <w:spacing w:before="20" w:after="100"/>
        <w:jc w:val="left"/>
      </w:pPr>
      <w:r>
        <w:rPr>
          <w:rFonts w:ascii="Times New Roman" w:hAnsi="Times New Roman"/>
          <w:i/>
          <w:color w:val="555555"/>
          <w:sz w:val="15"/>
        </w:rPr>
        <w:t>Note: Evaluated under single-annotator blind verification. Categories are mutually exclusive and sum to 100%.</w:t>
      </w:r>
    </w:p>
    <w:p>
      <w:pPr>
        <w:spacing w:before="0" w:after="80" w:line="259" w:lineRule="auto"/>
        <w:jc w:val="both"/>
      </w:pPr>
      <w:r>
        <w:rPr>
          <w:rFonts w:ascii="Times New Roman" w:hAnsi="Times New Roman"/>
          <w:sz w:val="19"/>
        </w:rPr>
        <w:t>Over a third of sampled failures (36.70%, Wilson CI [25.5%, 49.3%]) are format artifacts: the generator produced the semantically correct entity, but was penalized by string mismatch (e.g., answering 'US' instead of 'United States', or omitting parenthetical qualifiers). When combined with Reasoning Failures (31.70%), where the 3B model failed multi-hop logical deduction despite having gold passages in its prompt, we find that 68.4% of failures occur on the reader side. Actual retrieval failures (Missing Fact 2) account for 21.70% of errors.</w:t>
      </w:r>
    </w:p>
    <w:p>
      <w:pPr>
        <w:keepNext/>
        <w:spacing w:before="160" w:after="50"/>
      </w:pPr>
      <w:r>
        <w:rPr>
          <w:rFonts w:ascii="Times New Roman" w:hAnsi="Times New Roman"/>
          <w:b/>
          <w:color w:val="002B49"/>
          <w:sz w:val="22"/>
        </w:rPr>
        <w:t>5. Discussion</w:t>
      </w:r>
    </w:p>
    <w:p>
      <w:pPr>
        <w:spacing w:before="0" w:after="80" w:line="259" w:lineRule="auto"/>
        <w:jc w:val="both"/>
      </w:pPr>
      <w:r>
        <w:rPr>
          <w:rFonts w:ascii="Times New Roman" w:hAnsi="Times New Roman"/>
          <w:sz w:val="19"/>
        </w:rPr>
        <w:t>Synthesizing these empirical analyses reveals that retrieval coverage and downstream answer accuracy exhibit pronounced diminishing returns. While AllSF and EM correlate strongly across baselines (r ≈ 0.97), gains beyond 70% AllSF yield sharply compressed downstream benefits [8, 10].</w:t>
      </w:r>
    </w:p>
    <w:p>
      <w:pPr>
        <w:spacing w:before="0" w:after="80" w:line="259" w:lineRule="auto"/>
        <w:jc w:val="both"/>
      </w:pPr>
      <w:r>
        <w:rPr>
          <w:rFonts w:ascii="Times New Roman" w:hAnsi="Times New Roman"/>
          <w:sz w:val="19"/>
        </w:rPr>
        <w:t>Our depth-curve evaluations revealed a stark contrast across question categories that deserves closer scrutiny. Comparison questions hit a performance ceiling almost immediately: dense vector search alone placed all necessary supporting passages in the top-5 context for 98.96% of comparison instances, and reached an absolute 100.00% by depth 10. The reason is straightforward. Comparison questions explicitly name both target entities in the user prompt (for example, comparing the release dates of two specific films or the birthplaces of two athletes). Because both lexical anchors are visible from the start, single-pass dense dual encoders embed both semantic targets simultaneously. No iterative bridging is needed. This empirical reality raises an important question for multi-hop QA benchmarks: retaining balanced mixtures of comparison queries artificially inflates multi-hop retrieval statistics, creating an illusion of multi-step reasoning where standard single-pass vector matching already solves the lookup. Future benchmarks must separate compositional dependencies from multi-entity comparisons if they hope to measure multi-hop synthesis honestly.</w:t>
      </w:r>
    </w:p>
    <w:p>
      <w:pPr>
        <w:spacing w:before="0" w:after="80" w:line="259" w:lineRule="auto"/>
        <w:jc w:val="both"/>
      </w:pPr>
      <w:r>
        <w:rPr>
          <w:rFonts w:ascii="Times New Roman" w:hAnsi="Times New Roman"/>
          <w:sz w:val="19"/>
        </w:rPr>
        <w:t>We must also be candid about the size of our evaluation corpus. Our index consists of 19,260 passages drawn from 2,000 HotpotQA development set questions [4]. While this corpus is challenging because it concentrates hard distractors that share high surface-form overlap with query terms, it is still orders of magnitude smaller than a full 5-million-page Wikipedia dump. We suspect our reported absolute recall figures—such as 85.60% AllSF@5 for the full pipeline—are noticeably higher than what the same pipeline would achieve on open-web indices. In a 5-million-page index, retrieval dilution grows severe. The probability of retrieving semantically adjacent but factually irrelevant distractor paragraphs rises exponentially, which would likely drag down single-pass dense retrieval and increase the reranker's filtering burden. Testing whether our core finding—that reader reasoning constraints outweigh retrieval gaps—holds at web scale remains an open empirical challenge.</w:t>
      </w:r>
    </w:p>
    <w:p>
      <w:pPr>
        <w:spacing w:before="0" w:after="80" w:line="259" w:lineRule="auto"/>
        <w:jc w:val="both"/>
      </w:pPr>
      <w:r>
        <w:rPr>
          <w:rFonts w:ascii="Times New Roman" w:hAnsi="Times New Roman"/>
          <w:sz w:val="19"/>
        </w:rPr>
        <w:t>For engineers and practitioners working under fixed compute budgets, these findings point to clear architectural trade-offs. The cross-encoder reranker accounts for 69.1% of our cumulative retrieval stage latency (0.4560 s out of 0.6592 s combined execution time), processing queries at just 2.2 queries per second. That is a heavy operational tax. If a production system has enough context budget to feed ten unreranked passages directly to the reader model, our single-pass K=10 baseline demonstrates that it achieves 38.60% Exact Match. That is statistically indistinguishable from the 38.80% Exact Match achieved by running expensive cross-encoder reranking over a five-passage context. If latency and hosting costs matter, widening the generator's context window is frequently more practical than inserting a heavy transformer-based reranker.</w:t>
      </w:r>
    </w:p>
    <w:p>
      <w:pPr>
        <w:spacing w:before="0" w:after="80" w:line="259" w:lineRule="auto"/>
        <w:jc w:val="both"/>
      </w:pPr>
      <w:r>
        <w:rPr>
          <w:rFonts w:ascii="Times New Roman" w:hAnsi="Times New Roman"/>
          <w:sz w:val="19"/>
        </w:rPr>
        <w:t>We initially expected the second retrieval hop to provide broader downstream benefits than it actually delivered. In our retrieval recovery audit, Hop-2 query augmentation successfully surfaced missing gold facts for only 32 questions (6.40% of the benchmark). More critically, when looking at downstream question answering, the net advantage over our fair single-pass control (S5_Ctrl) was remarkably narrow: S8 achieved 14 Exact Match wins against 9 losses—a net gain of just 5 questions out of 500 (+1.00 pp EM, p = 0.8511). We had not fully appreciated how frequently appending Hop-1 snippets introduces distracting context that degrades reader focus, largely neutralizing the modest retrieval gains before they can reach the final answer.</w:t>
      </w:r>
    </w:p>
    <w:p>
      <w:pPr>
        <w:spacing w:before="0" w:after="80" w:line="259" w:lineRule="auto"/>
        <w:jc w:val="both"/>
      </w:pPr>
      <w:r>
        <w:rPr>
          <w:rFonts w:ascii="Times New Roman" w:hAnsi="Times New Roman"/>
          <w:sz w:val="19"/>
        </w:rPr>
        <w:t>Meanwhile, generator parameterization exerts an overwhelming influence. Scaling from a 3B to a 7B reader model on identical retrieved passages produces a +12.20 pp jump in Exact Match. Coupled with our error breakdown showing that 36.70% of failures are string-matching artifacts, we conclude that future research in multi-hop QA should focus on reader reasoning capabilities, context distillation, and metric normalization rather than engineering increasingly intricate retrieval loops [23].</w:t>
      </w:r>
    </w:p>
    <w:p>
      <w:pPr>
        <w:keepNext/>
        <w:spacing w:before="160" w:after="50"/>
      </w:pPr>
      <w:r>
        <w:rPr>
          <w:rFonts w:ascii="Times New Roman" w:hAnsi="Times New Roman"/>
          <w:b/>
          <w:color w:val="002B49"/>
          <w:sz w:val="22"/>
        </w:rPr>
        <w:t>6. Threats to Validity and Limitations</w:t>
      </w:r>
    </w:p>
    <w:p>
      <w:pPr>
        <w:keepNext/>
        <w:spacing w:before="160" w:after="50"/>
      </w:pPr>
      <w:r>
        <w:rPr>
          <w:rFonts w:ascii="Times New Roman" w:hAnsi="Times New Roman"/>
          <w:b/>
          <w:color w:val="1E293B"/>
          <w:sz w:val="20"/>
        </w:rPr>
        <w:t>6.1 Threats to Validity</w:t>
      </w:r>
    </w:p>
    <w:p>
      <w:pPr>
        <w:spacing w:before="0" w:after="80" w:line="259" w:lineRule="auto"/>
        <w:jc w:val="both"/>
      </w:pPr>
      <w:r>
        <w:rPr>
          <w:rFonts w:ascii="Times New Roman" w:hAnsi="Times New Roman"/>
          <w:sz w:val="19"/>
        </w:rPr>
        <w:t>Several methodological threats could affect the interpretation and generalizability of our results.</w:t>
        <w:br/>
        <w:t>• Single-Seed Evaluation: Our pooled corpus and question sampling rely on a fixed random seed (SEED=42). While standardizing the seed was essential to maintain identical evaluation contexts across all thirteen model configurations, it introduces a potential sampling dependency. Running identical evaluations across multiple independently drawn corpus samples would provide narrower empirical variance bounds, though the stability of our bootstrap percentile distributions suggests that core rankings are unlikely to shuffle under different sampling seeds.</w:t>
        <w:br/>
        <w:t>• Subgroup Sample Size and Statistical Power: Although our evaluation set (N=500) provides sufficient power for primary significance tests, our question-type breakdown contains an uneven distribution: 404 bridge questions versus only 96 comparison questions. This 80.8% to 19.2% split mirrors the natural composition of HotpotQA, but it leaves tests on the comparison subset underpowered. With n=96, statistical tests are capable of detecting only large effect sizes (Δ &gt; 8 pp), meaning subtle differences in comparison-question answering could easily escape statistical detection.</w:t>
        <w:br/>
        <w:t>• Single-Annotator Error Classification: Our qualitative failure taxonomy was built from a hand-verified audit of 60 randomly sampled prediction failures. Because these 60 instances were categorized by a single author, we cannot compute formal inter-annotator agreement metrics such as Cohen's kappa. While we minimized subjectivity by defining rigid boundary conditions—such as classifying an error as a format artifact only if the predicted span was an exact semantic alias of the gold string—some ambiguity between reasoning breakdown and span extraction errors is inevitable when inspecting raw generation logs. Replicating this failure audit across multiple independent annotators would help firm up the category boundaries.</w:t>
      </w:r>
    </w:p>
    <w:p>
      <w:pPr>
        <w:keepNext/>
        <w:spacing w:before="160" w:after="50"/>
      </w:pPr>
      <w:r>
        <w:rPr>
          <w:rFonts w:ascii="Times New Roman" w:hAnsi="Times New Roman"/>
          <w:b/>
          <w:color w:val="1E293B"/>
          <w:sz w:val="20"/>
        </w:rPr>
        <w:t>6.2 Methodological Limitations</w:t>
      </w:r>
    </w:p>
    <w:p>
      <w:pPr>
        <w:spacing w:before="0" w:after="80" w:line="259" w:lineRule="auto"/>
        <w:jc w:val="both"/>
      </w:pPr>
      <w:r>
        <w:rPr>
          <w:rFonts w:ascii="Times New Roman" w:hAnsi="Times New Roman"/>
          <w:sz w:val="19"/>
        </w:rPr>
        <w:t>Beyond validity threats, we note several concrete scope limitations:</w:t>
        <w:br/>
        <w:t>1. Corpus Construction: Our evaluation index comprises 19,260 passages constructed by pooling gold and distractor paragraphs from the HotpotQA development set [4]. While challenging due to dense distractor competition, this corpus is substantially smaller than full 5-million-page Wikipedia dumps, where retrieval dilution may follow different scaling dynamics.</w:t>
        <w:br/>
        <w:t>2. Generator Architecture: Experiments were restricted to the Qwen2.5 open-weights series (3B and 7B) [18]. While representative of modern dense instruct models, we cannot entirely rule out potential pre-training exposure to HotpotQA text.</w:t>
        <w:br/>
        <w:t>3. Metric Constraints: We adhered to standard HotpotQA Exact Match and token F1 metrics. Evaluating alias-aware or model-based semantic evaluation metrics was beyond the scope of this study.</w:t>
      </w:r>
    </w:p>
    <w:p>
      <w:pPr>
        <w:keepNext/>
        <w:spacing w:before="160" w:after="50"/>
      </w:pPr>
      <w:r>
        <w:rPr>
          <w:rFonts w:ascii="Times New Roman" w:hAnsi="Times New Roman"/>
          <w:b/>
          <w:color w:val="002B49"/>
          <w:sz w:val="22"/>
        </w:rPr>
        <w:t>7. Conclusion</w:t>
      </w:r>
    </w:p>
    <w:p>
      <w:pPr>
        <w:spacing w:before="0" w:after="80" w:line="259" w:lineRule="auto"/>
        <w:jc w:val="both"/>
      </w:pPr>
      <w:r>
        <w:rPr>
          <w:rFonts w:ascii="Times New Roman" w:hAnsi="Times New Roman"/>
          <w:sz w:val="19"/>
        </w:rPr>
        <w:t>In this empirical diagnostic study, we investigated the stage-wise mechanisms governing multi-hop RAG systems on HotpotQA. Through thirteen controlled system evaluations, paired bootstrap resampling, Holm-corrected McNemar tests, and manual error audits, we showed that the performance bottleneck in multi-hop QA is not retrieval recall. Cross-encoder reranking accounts for virtually all meaningful retrieval improvements, while iterative second-hop query augmentation delivers modest gains that fail to reach downstream answer accuracy. Over 78% of the downstream performance deficit originates on the generator and metric side, where reader parameter scaling provides four times the benefit of retrieval pipeline optimization. For practitioners and researchers, these results suggest that efforts to improve multi-hop QA are better spent strengthening reader reasoning and resolving surface-form metric fragility than constructing ever-more elaborate iterative retrieval pipelines.</w:t>
      </w:r>
    </w:p>
    <w:p>
      <w:pPr>
        <w:keepNext/>
        <w:spacing w:before="160" w:after="50"/>
      </w:pPr>
      <w:r>
        <w:rPr>
          <w:rFonts w:ascii="Times New Roman" w:hAnsi="Times New Roman"/>
          <w:b/>
          <w:color w:val="002B49"/>
          <w:sz w:val="22"/>
        </w:rPr>
        <w:t>References</w:t>
      </w:r>
    </w:p>
    <w:p>
      <w:pPr>
        <w:spacing w:before="30" w:after="50" w:line="245" w:lineRule="auto"/>
        <w:ind w:left="360" w:hanging="360"/>
      </w:pPr>
      <w:r>
        <w:rPr>
          <w:rFonts w:ascii="Times New Roman" w:hAnsi="Times New Roman"/>
          <w:sz w:val="16"/>
        </w:rPr>
        <w:t>[1] Lewis, P., Perez, E., Piktus, A., Petroni, F., Karpukhin, V., Goyal, N., ... &amp; Kiela, D. (2020). Retrieval-augmented generation for knowledge-intensive NLP tasks. Advances in Neural Information Processing Systems, 33, 9459-9474.</w:t>
      </w:r>
    </w:p>
    <w:p>
      <w:pPr>
        <w:spacing w:before="30" w:after="50" w:line="245" w:lineRule="auto"/>
        <w:ind w:left="360" w:hanging="360"/>
      </w:pPr>
      <w:r>
        <w:rPr>
          <w:rFonts w:ascii="Times New Roman" w:hAnsi="Times New Roman"/>
          <w:sz w:val="16"/>
        </w:rPr>
        <w:t>[2] Karpukhin, V., Oguz, B., Min, S., Lewis, P., Wu, L., Edunov, S., Chen, D., &amp; Yih, W. T. (2020). Dense passage retrieval for open-domain question answering. In Proceedings of the 2020 Conference on Empirical Methods in Natural Language Processing (EMNLP), 6769-6781.</w:t>
      </w:r>
    </w:p>
    <w:p>
      <w:pPr>
        <w:spacing w:before="30" w:after="50" w:line="245" w:lineRule="auto"/>
        <w:ind w:left="360" w:hanging="360"/>
      </w:pPr>
      <w:r>
        <w:rPr>
          <w:rFonts w:ascii="Times New Roman" w:hAnsi="Times New Roman"/>
          <w:sz w:val="16"/>
        </w:rPr>
        <w:t>[3] Shuster, K., Poff, S., Moya, D., Komeili, S., Ju, D., Xu, J., ... &amp; Weston, J. (2021). Retrieval augmentation reduces hallucination in conversation. In Findings of the Association for Computational Linguistics: EMNLP 2021, 3784-3803.</w:t>
      </w:r>
    </w:p>
    <w:p>
      <w:pPr>
        <w:spacing w:before="30" w:after="50" w:line="245" w:lineRule="auto"/>
        <w:ind w:left="360" w:hanging="360"/>
      </w:pPr>
      <w:r>
        <w:rPr>
          <w:rFonts w:ascii="Times New Roman" w:hAnsi="Times New Roman"/>
          <w:sz w:val="16"/>
        </w:rPr>
        <w:t>[4] Yang, Z., Qi, P., Zhang, S., Bengio, Y., Cohen, W. W., Salakhutdinov, R., &amp; Manning, C. D. (2018). HotpotQA: A dataset for diverse, explainable multi-hop question answering. In Proceedings of the 2018 Conference on Empirical Methods in Natural Language Processing (EMNLP), 2369-2380.</w:t>
      </w:r>
    </w:p>
    <w:p>
      <w:pPr>
        <w:spacing w:before="30" w:after="50" w:line="245" w:lineRule="auto"/>
        <w:ind w:left="360" w:hanging="360"/>
      </w:pPr>
      <w:r>
        <w:rPr>
          <w:rFonts w:ascii="Times New Roman" w:hAnsi="Times New Roman"/>
          <w:sz w:val="16"/>
        </w:rPr>
        <w:t>[5] Trivedi, H., Balasubramanian, N., Khot, T., &amp; Sabharwal, A. (2023). Interleaving retrieval with chain-of-thought reasoning for knowledge-intensive multi-step questions. In Proceedings of the 61st Annual Meeting of the Association for Computational Linguistics (ACL), 10014-10037.</w:t>
      </w:r>
    </w:p>
    <w:p>
      <w:pPr>
        <w:spacing w:before="30" w:after="50" w:line="245" w:lineRule="auto"/>
        <w:ind w:left="360" w:hanging="360"/>
      </w:pPr>
      <w:r>
        <w:rPr>
          <w:rFonts w:ascii="Times New Roman" w:hAnsi="Times New Roman"/>
          <w:sz w:val="16"/>
        </w:rPr>
        <w:t>[6] Khattab, O., Santhanam, K., Li, X. L., Hall, D., &amp; Liang, P. (2023). Demonstrate-Search-Predict: Composing retrieval and language models for knowledge-intensive NLP. arXiv preprint arXiv:2212.14024.</w:t>
      </w:r>
    </w:p>
    <w:p>
      <w:pPr>
        <w:spacing w:before="30" w:after="50" w:line="245" w:lineRule="auto"/>
        <w:ind w:left="360" w:hanging="360"/>
      </w:pPr>
      <w:r>
        <w:rPr>
          <w:rFonts w:ascii="Times New Roman" w:hAnsi="Times New Roman"/>
          <w:sz w:val="16"/>
        </w:rPr>
        <w:t>[7] Asai, A., Min, S., Zhong, Z., &amp; Yih, W. T. (2024). Self-RAG: Learning to retrieve, generate, and critique through self-reflection. In International Conference on Learning Representations (ICLR 2024).</w:t>
      </w:r>
    </w:p>
    <w:p>
      <w:pPr>
        <w:spacing w:before="30" w:after="50" w:line="245" w:lineRule="auto"/>
        <w:ind w:left="360" w:hanging="360"/>
      </w:pPr>
      <w:r>
        <w:rPr>
          <w:rFonts w:ascii="Times New Roman" w:hAnsi="Times New Roman"/>
          <w:sz w:val="16"/>
        </w:rPr>
        <w:t>[8] Chen, J., Lin, H., Han, X., &amp; Sun, L. (2024). Benchmarking large language models in retrieval-augmented generation. In Proceedings of the AAAI Conference on Artificial Intelligence, 38(16), 17754-17762.</w:t>
      </w:r>
    </w:p>
    <w:p>
      <w:pPr>
        <w:spacing w:before="30" w:after="50" w:line="245" w:lineRule="auto"/>
        <w:ind w:left="360" w:hanging="360"/>
      </w:pPr>
      <w:r>
        <w:rPr>
          <w:rFonts w:ascii="Times New Roman" w:hAnsi="Times New Roman"/>
          <w:sz w:val="16"/>
        </w:rPr>
        <w:t>[9] Liu, N. F., Lin, K., Hewitt, J., Paranjape, A., Bevilacqua, M., Petroni, F., &amp; Liang, P. (2024). Lost in the middle: How language models use long contexts. Transactions of the Association for Computational Linguistics, 12, 157-173.</w:t>
      </w:r>
    </w:p>
    <w:p>
      <w:pPr>
        <w:spacing w:before="30" w:after="50" w:line="245" w:lineRule="auto"/>
        <w:ind w:left="360" w:hanging="360"/>
      </w:pPr>
      <w:r>
        <w:rPr>
          <w:rFonts w:ascii="Times New Roman" w:hAnsi="Times New Roman"/>
          <w:sz w:val="16"/>
        </w:rPr>
        <w:t>[10] Gao, Y., Xiong, Y., Gao, X., Jia, K., Pan, J., Bi, Y., ... &amp; Wang, H. (2023). Retrieval-augmented generation for large language models: A survey. arXiv preprint arXiv:2312.10997.</w:t>
      </w:r>
    </w:p>
    <w:p>
      <w:pPr>
        <w:spacing w:before="30" w:after="50" w:line="245" w:lineRule="auto"/>
        <w:ind w:left="360" w:hanging="360"/>
      </w:pPr>
      <w:r>
        <w:rPr>
          <w:rFonts w:ascii="Times New Roman" w:hAnsi="Times New Roman"/>
          <w:sz w:val="16"/>
        </w:rPr>
        <w:t>[11] Robertson, S., &amp; Zaragoza, H. (2009). The probabilistic relevance framework: BM25 and beyond. Foundations and Trends in Information Retrieval, 3(4), 333-389.</w:t>
      </w:r>
    </w:p>
    <w:p>
      <w:pPr>
        <w:spacing w:before="30" w:after="50" w:line="245" w:lineRule="auto"/>
        <w:ind w:left="360" w:hanging="360"/>
      </w:pPr>
      <w:r>
        <w:rPr>
          <w:rFonts w:ascii="Times New Roman" w:hAnsi="Times New Roman"/>
          <w:sz w:val="16"/>
        </w:rPr>
        <w:t>[12] Xiao, S., Liu, Z., Zhang, P., &amp; Muennighoff, N. (2023). C-Pack: Packaged resources to advance general Chinese embedding (BGE models). arXiv preprint arXiv:2309.07597.</w:t>
      </w:r>
    </w:p>
    <w:p>
      <w:pPr>
        <w:spacing w:before="30" w:after="50" w:line="245" w:lineRule="auto"/>
        <w:ind w:left="360" w:hanging="360"/>
      </w:pPr>
      <w:r>
        <w:rPr>
          <w:rFonts w:ascii="Times New Roman" w:hAnsi="Times New Roman"/>
          <w:sz w:val="16"/>
        </w:rPr>
        <w:t>[13] Cormack, G. V., Clarke, C. L., &amp; Buettcher, S. (2009). Reciprocal rank fusion outperforms Indri and Lucene for combined search. In Proceedings of the 32nd International ACM SIGIR Conference on Research and Development in Information Retrieval, 758-759.</w:t>
      </w:r>
    </w:p>
    <w:p>
      <w:pPr>
        <w:spacing w:before="30" w:after="50" w:line="245" w:lineRule="auto"/>
        <w:ind w:left="360" w:hanging="360"/>
      </w:pPr>
      <w:r>
        <w:rPr>
          <w:rFonts w:ascii="Times New Roman" w:hAnsi="Times New Roman"/>
          <w:sz w:val="16"/>
        </w:rPr>
        <w:t>[14] Nogueira, R., &amp; Cho, K. (2019). Passage re-ranking with BERT. arXiv preprint arXiv:1901.04085.</w:t>
      </w:r>
    </w:p>
    <w:p>
      <w:pPr>
        <w:spacing w:before="30" w:after="50" w:line="245" w:lineRule="auto"/>
        <w:ind w:left="360" w:hanging="360"/>
      </w:pPr>
      <w:r>
        <w:rPr>
          <w:rFonts w:ascii="Times New Roman" w:hAnsi="Times New Roman"/>
          <w:sz w:val="16"/>
        </w:rPr>
        <w:t>[15] Efron, B., &amp; Tibshirani, R. J. (1993). An Introduction to the Bootstrap. Chapman &amp; Hall/CRC Press.</w:t>
      </w:r>
    </w:p>
    <w:p>
      <w:pPr>
        <w:spacing w:before="30" w:after="50" w:line="245" w:lineRule="auto"/>
        <w:ind w:left="360" w:hanging="360"/>
      </w:pPr>
      <w:r>
        <w:rPr>
          <w:rFonts w:ascii="Times New Roman" w:hAnsi="Times New Roman"/>
          <w:sz w:val="16"/>
        </w:rPr>
        <w:t>[16] Holm, S. (1979). A simple sequentially rejective multiple test procedure. Scandinavian Journal of Statistics, 6(2), 65-70.</w:t>
      </w:r>
    </w:p>
    <w:p>
      <w:pPr>
        <w:spacing w:before="30" w:after="50" w:line="245" w:lineRule="auto"/>
        <w:ind w:left="360" w:hanging="360"/>
      </w:pPr>
      <w:r>
        <w:rPr>
          <w:rFonts w:ascii="Times New Roman" w:hAnsi="Times New Roman"/>
          <w:sz w:val="16"/>
        </w:rPr>
        <w:t>[17] McNemar, Q. (1947). Note on the sampling error of the difference between correlated proportions or percentages. Psychometrika, 12(2), 153-157.</w:t>
      </w:r>
    </w:p>
    <w:p>
      <w:pPr>
        <w:spacing w:before="30" w:after="50" w:line="245" w:lineRule="auto"/>
        <w:ind w:left="360" w:hanging="360"/>
      </w:pPr>
      <w:r>
        <w:rPr>
          <w:rFonts w:ascii="Times New Roman" w:hAnsi="Times New Roman"/>
          <w:sz w:val="16"/>
        </w:rPr>
        <w:t>[18] Qwen Team. (2024). Qwen2.5: A party of foundation and instruction-tuned large language models. arXiv preprint arXiv:2412.15115.</w:t>
      </w:r>
    </w:p>
    <w:p>
      <w:pPr>
        <w:spacing w:before="30" w:after="50" w:line="245" w:lineRule="auto"/>
        <w:ind w:left="360" w:hanging="360"/>
      </w:pPr>
      <w:r>
        <w:rPr>
          <w:rFonts w:ascii="Times New Roman" w:hAnsi="Times New Roman"/>
          <w:sz w:val="16"/>
        </w:rPr>
        <w:t>[19] Rajpurkar, P., Jia, R., &amp; Liang, P. (2018). Know what you don't know: Unanswerable questions for SQuAD. In Proceedings of the 56th Annual Meeting of the Association for Computational Linguistics (ACL), 784-789.</w:t>
      </w:r>
    </w:p>
    <w:p>
      <w:pPr>
        <w:spacing w:before="30" w:after="50" w:line="245" w:lineRule="auto"/>
        <w:ind w:left="360" w:hanging="360"/>
      </w:pPr>
      <w:r>
        <w:rPr>
          <w:rFonts w:ascii="Times New Roman" w:hAnsi="Times New Roman"/>
          <w:sz w:val="16"/>
        </w:rPr>
        <w:t>[20] Min, S., Wallace, E., Singh, S., Gardner, M., Hajishirzi, H., &amp; Zettlemoyer, L. (2019). Compositional questions do not necessitate multi-hop reasoning. In Proceedings of the 57th Annual Meeting of the Association for Computational Linguistics (ACL), 4249-4257.</w:t>
      </w:r>
    </w:p>
    <w:p>
      <w:pPr>
        <w:spacing w:before="30" w:after="50" w:line="245" w:lineRule="auto"/>
        <w:ind w:left="360" w:hanging="360"/>
      </w:pPr>
      <w:r>
        <w:rPr>
          <w:rFonts w:ascii="Times New Roman" w:hAnsi="Times New Roman"/>
          <w:sz w:val="16"/>
        </w:rPr>
        <w:t>[21] Dror, R., Baumer, G., Shlomov, S., &amp; Reichart, R. (2018). The hitchhiker's guide to testing statistical significance in natural language processing. In Proceedings of the 56th Annual Meeting of the Association for Computational Linguistics (ACL), 1383-1392.</w:t>
      </w:r>
    </w:p>
    <w:p>
      <w:pPr>
        <w:spacing w:before="30" w:after="50" w:line="245" w:lineRule="auto"/>
        <w:ind w:left="360" w:hanging="360"/>
      </w:pPr>
      <w:r>
        <w:rPr>
          <w:rFonts w:ascii="Times New Roman" w:hAnsi="Times New Roman"/>
          <w:sz w:val="16"/>
        </w:rPr>
        <w:t>[22] Wilson, E. B. (1927). Probable inference, the law of succession, and statistical inference. Journal of the American Statistical Association, 22(158), 209-212.</w:t>
      </w:r>
    </w:p>
    <w:p>
      <w:pPr>
        <w:spacing w:before="30" w:after="50" w:line="245" w:lineRule="auto"/>
        <w:ind w:left="360" w:hanging="360"/>
      </w:pPr>
      <w:r>
        <w:rPr>
          <w:rFonts w:ascii="Times New Roman" w:hAnsi="Times New Roman"/>
          <w:sz w:val="16"/>
        </w:rPr>
        <w:t>[23] Mallen, A., Asai, A., Zhong, V., Das, R., Khashabi, D., &amp; Hajishirzi, H. (2023). When not to trust language models: Investigating effectiveness of parametric and non-parametric memories. In Proceedings of the 61st Annual Meeting of the Association for Computational Linguistics (ACL), 9802-9822.</w:t>
      </w:r>
    </w:p>
    <w:sectPr w:rsidR="00FC693F" w:rsidRPr="0006063C" w:rsidSect="00034616">
      <w:type w:val="continuous"/>
      <w:pgSz w:w="12240" w:h="15840"/>
      <w:pgMar w:top="1080" w:right="1080" w:bottom="1080" w:left="1080" w:header="720" w:footer="720" w:gutter="0"/>
      <w:cols w:space="720"/>
      <w:docGrid w:linePitch="360"/>
      <w:cols w:num="2" w:space="720"/>
      <w:cols w:num="1"/>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