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02244"/>
          <w:sz w:val="36"/>
        </w:rPr>
        <w:t>Diagnosing the Multi-Hop Retrieval-Generation Gap:</w:t>
        <w:br/>
        <w:t>An Empirical Study on HotpotQA</w:t>
      </w:r>
    </w:p>
    <w:p>
      <w:pPr>
        <w:spacing w:before="80" w:after="40"/>
        <w:jc w:val="center"/>
      </w:pPr>
      <w:r>
        <w:rPr>
          <w:rFonts w:ascii="Times New Roman" w:hAnsi="Times New Roman"/>
          <w:color w:val="333333"/>
          <w:sz w:val="21"/>
        </w:rPr>
        <w:t>Abirami K</w:t>
        <w:br/>
        <w:t>Department of Computer Science and Engineering</w:t>
        <w:br/>
        <w:t>abiramikondaiyan@gmail.com</w:t>
      </w:r>
    </w:p>
    <w:p>
      <w:pPr>
        <w:spacing w:before="40" w:after="280"/>
        <w:jc w:val="center"/>
      </w:pPr>
      <w:r>
        <w:rPr>
          <w:rFonts w:ascii="Times New Roman" w:hAnsi="Times New Roman"/>
          <w:i/>
          <w:color w:val="004488"/>
          <w:sz w:val="19"/>
        </w:rPr>
        <w:t>Repository &amp; Live Reproduction Suite: https://github.com/abirami-302/MultiHop-RAG-Diagnosis</w:t>
      </w:r>
    </w:p>
    <w:p>
      <w:pPr>
        <w:keepNext/>
        <w:spacing w:before="280" w:after="80"/>
      </w:pPr>
      <w:r>
        <w:rPr>
          <w:rFonts w:ascii="Times New Roman" w:hAnsi="Times New Roman"/>
          <w:b/>
          <w:color w:val="003366"/>
          <w:sz w:val="28"/>
        </w:rPr>
        <w:t>Abstract</w:t>
      </w:r>
    </w:p>
    <w:p>
      <w:pPr>
        <w:spacing w:before="0" w:after="240" w:line="276" w:lineRule="auto"/>
        <w:jc w:val="both"/>
      </w:pPr>
      <w:r>
        <w:rPr>
          <w:rFonts w:ascii="Times New Roman" w:hAnsi="Times New Roman"/>
          <w:sz w:val="22"/>
        </w:rPr>
        <w:t>Multi-hop question answering requires synthesizing disconnected evidence fragments across multiple text passages. While complex iterative retrieval pipelines are frequently proposed to resolve this challenge, their true stage-wise error mechanisms remain insufficiently understood. In this study, we conduct a systematic, stage-wise empirical diagnosis comparing thirteen retrieval and generation configurations on a 500-question evaluation benchmark drawn from HotpotQA over a pooled corpus of 19,260 passages under a unified dual-GPU execution protocol. We employ paired bootstrap resampling (B=10,000) and McNemar's paired tests with family-wise Holm-Bonferroni correction, complemented by a leave-one-out ablation, recall-depth profiling, stage-wise evidence funnel accounting, reader parameter scaling (3B vs. 7B parameters), and a hand-verified qualitative audit of failure cases. Our empirical findings demonstrate that neural cross-encoder reranking provides the single most decisive retrieval improvement (+15.40 percentage points AllSF@5), whereas iterative second-hop retrieval contributes a modest, borderline significant gain (+2.80 percentage points AllSF@5, p_holm = 0.0480) that fails to convert into significant downstream exact-match gains. Decomposing the end-to-end performance deficit reveals that imperfect retrieval accounts for merely 21.9% of the overall Exact Match deficit under a 3B reader, contracting further to 17.1% under a 7B reader. When provided with identical retrieved evidence, scaling the reader from 3B to 7B parameters delivers a +12.20 percentage point jump in Exact Match (reaching 52.00%, comparable to the 3B model's gold-evidence ceiling of 53.00%). Qualitative inspection reveals that 36.70% of downstream errors stem from surface-form metric penalties rather than factual errors. These results demonstrate that multi-hop QA systems operating over moderately sized corpora are fundamentally reader-and-metric-bound rather than retrieval-bound, indicating that optimizing complex query-loop architectures offers rapidly diminishing returns relative to scaling reader reasoning capacity.</w:t>
      </w:r>
    </w:p>
    <w:p>
      <w:pPr>
        <w:keepNext/>
        <w:spacing w:before="280" w:after="80"/>
      </w:pPr>
      <w:r>
        <w:rPr>
          <w:rFonts w:ascii="Times New Roman" w:hAnsi="Times New Roman"/>
          <w:b/>
          <w:color w:val="003366"/>
          <w:sz w:val="28"/>
        </w:rPr>
        <w:t>1. Introduction</w:t>
      </w:r>
    </w:p>
    <w:p>
      <w:pPr>
        <w:spacing w:before="0" w:after="120" w:line="276" w:lineRule="auto"/>
        <w:jc w:val="both"/>
      </w:pPr>
      <w:r>
        <w:rPr>
          <w:rFonts w:ascii="Times New Roman" w:hAnsi="Times New Roman"/>
          <w:sz w:val="22"/>
        </w:rPr>
        <w:t>Retrieval-Augmented Generation (RAG) has emerged as the prevailing framework for grounding large language models on external knowledge, reducing factual hallucinations and mitigating parametric knowledge cutoff limitations. Yet when queries require multi-step reasoning—such as bridging separate Wikipedia articles to answer multi-hop questions—standard single-pass dense or lexical retrievers often stumble. A typical response in recent literature has been the introduction of iterative query-reformulation loops, multi-agent debate pipelines, and multi-hop graph traversals. These architectures operate on the foundational premise that missing retrieval evidence is the primary choke point throttling downstream answer accuracy.</w:t>
      </w:r>
    </w:p>
    <w:p>
      <w:pPr>
        <w:spacing w:before="0" w:after="120" w:line="276" w:lineRule="auto"/>
        <w:jc w:val="both"/>
      </w:pPr>
      <w:r>
        <w:rPr>
          <w:rFonts w:ascii="Times New Roman" w:hAnsi="Times New Roman"/>
          <w:sz w:val="22"/>
        </w:rPr>
        <w:t>However, evaluating multi-hop architectures often conflates retrieval recall gains with answer generation improvements. Many reported improvements fail to isolate whether downstream accuracy gains originate from genuinely superior multi-hop evidence capture, broader context windows, or the downstream generator's capacity to digest noisy candidate sets. Without rigorous, stage-wise error decomposition and paired statistical testing, practitioners risk engineering intricate retrieval workflows to resolve what might actually be a reader reasoning or metric-formatting deficiency.</w:t>
      </w:r>
    </w:p>
    <w:p>
      <w:pPr>
        <w:spacing w:before="0" w:after="120" w:line="276" w:lineRule="auto"/>
        <w:jc w:val="both"/>
      </w:pPr>
      <w:r>
        <w:rPr>
          <w:rFonts w:ascii="Times New Roman" w:hAnsi="Times New Roman"/>
          <w:sz w:val="22"/>
        </w:rPr>
        <w:t>To test this premise, we designed an empirical diagnostic investigation rather than introducing another complex architecture. We evaluate multi-hop RAG stage by stage on HotpotQA, using 500 fixed evaluation questions against a pooled corpus of 19,260 passages on dual NVIDIA Tesla T4 GPUs. We isolate each component: sparse lexical retrieval (BM25), dense semantic search (BGE-Small), reciprocal rank fusion (RRF), neural cross-encoder reranking, and iterative second-hop retrieval. Crucially, we enforce fair capacity controls, including an identical-pool single-pass control (Pool-50) and an unreranked wider-window baseline (K=10), paired bootstrap resampling with Holm-Bonferroni corrections, and McNemar's tests on paired binary Exact Match outcomes.</w:t>
      </w:r>
    </w:p>
    <w:p>
      <w:pPr>
        <w:keepNext/>
        <w:spacing w:before="280" w:after="80"/>
      </w:pPr>
      <w:r>
        <w:rPr>
          <w:rFonts w:ascii="Times New Roman" w:hAnsi="Times New Roman"/>
          <w:b/>
          <w:color w:val="111111"/>
          <w:sz w:val="24"/>
        </w:rPr>
        <w:t>1.1 Contributions</w:t>
      </w:r>
    </w:p>
    <w:p>
      <w:pPr>
        <w:spacing w:before="0" w:after="120" w:line="276" w:lineRule="auto"/>
        <w:jc w:val="both"/>
      </w:pPr>
      <w:r>
        <w:rPr>
          <w:rFonts w:ascii="Times New Roman" w:hAnsi="Times New Roman"/>
          <w:sz w:val="22"/>
        </w:rPr>
        <w:t>Rather than proposing a novel architecture, our paper provides a controlled empirical autopsy of the multi-hop RAG pipeline. Specifically, we report three core diagnostic findings:</w:t>
      </w:r>
    </w:p>
    <w:p>
      <w:pPr>
        <w:spacing w:before="0" w:after="120" w:line="276" w:lineRule="auto"/>
        <w:jc w:val="both"/>
      </w:pPr>
      <w:r>
        <w:rPr>
          <w:rFonts w:ascii="Times New Roman" w:hAnsi="Times New Roman"/>
          <w:sz w:val="22"/>
        </w:rPr>
        <w:t>First, we quantify the stage-wise error budget of the pipeline (Table 1). We show that under a 3B parameter reader, retrieval loss accounts for only 21.9% of the total Exact Match deficit (13.20 pp out of 60.20 pp below 100%), while reader and metric artifacts account for 78.1% (47.00 pp). When evaluating a 7B reader over the exact same evidence, retrieval's share of the deficit contracts to 17.1% (8.20 pp), establishing that stronger generators exhibit greater resilience against distractor interference.</w:t>
      </w:r>
    </w:p>
    <w:p>
      <w:pPr>
        <w:spacing w:before="0" w:after="120" w:line="276" w:lineRule="auto"/>
        <w:jc w:val="both"/>
      </w:pPr>
      <w:r>
        <w:rPr>
          <w:rFonts w:ascii="Times New Roman" w:hAnsi="Times New Roman"/>
          <w:sz w:val="22"/>
        </w:rPr>
        <w:t>Second, we isolate the retrieval mechanisms driving performance. Cross-encoder reranking serves as the definitive retrieval linchpin, contributing +15.40 pp in all-supporting-fact retrieval coverage (AllSF@5), whereas iterative Hop-2 query augmentation adds a modest +2.80 pp. Under paired bootstrap resampling, this Hop-2 gain is borderline significant (p_holm = 0.0480), but under paired McNemar testing, it produces no statistically detectable gain in downstream Exact Match (p_holm = 0.8511).</w:t>
      </w:r>
    </w:p>
    <w:p>
      <w:pPr>
        <w:spacing w:before="0" w:after="120" w:line="276" w:lineRule="auto"/>
        <w:jc w:val="both"/>
      </w:pPr>
      <w:r>
        <w:rPr>
          <w:rFonts w:ascii="Times New Roman" w:hAnsi="Times New Roman"/>
          <w:sz w:val="22"/>
        </w:rPr>
        <w:t>Third, through a randomized, hand-verified failure audit of 60 error cases, we demonstrate that 36.70% of generation failures represent surface-form metric artifacts where the model extracted the correct semantic fact but failed string-matching criteria. An additional 31.70% represent logical reasoning breakdowns despite having full or partial gold evidence in context. Collectively, these results demonstrate that multi-hop QA over distractor-rich corpora is primarily reader-and-metric-bound rather than retrieval-bound.</w:t>
      </w:r>
    </w:p>
    <w:p>
      <w:pPr>
        <w:keepNext/>
        <w:spacing w:before="280" w:after="80"/>
      </w:pPr>
      <w:r>
        <w:rPr>
          <w:rFonts w:ascii="Times New Roman" w:hAnsi="Times New Roman"/>
          <w:b/>
          <w:color w:val="003366"/>
          <w:sz w:val="28"/>
        </w:rPr>
        <w:t>2. Related Work</w:t>
      </w:r>
    </w:p>
    <w:p>
      <w:pPr>
        <w:spacing w:before="0" w:after="120" w:line="276" w:lineRule="auto"/>
        <w:jc w:val="both"/>
      </w:pPr>
      <w:r>
        <w:rPr>
          <w:rFonts w:ascii="Times New Roman" w:hAnsi="Times New Roman"/>
          <w:sz w:val="22"/>
        </w:rPr>
        <w:t>Dense retrieval methods, pioneered by Dense Passage Retrieval (DPR) (Karpukhin et al., 2020), map questions and candidate documents into a shared latent semantic space via dual-encoder architectures. While effective for single-fact lookups, dense retrieval frequently misses lexical exact-matches such as entity acronyms and numerical codes, leading to the resurgence of hybrid retrieval paradigms that combine dense vectors with BM25 Okapi (Robertson and Zaragoza, 2009) via Reciprocal Rank Fusion (RRF) (Cormack et al., 2009). Cross-encoder neural rerankers (Nogueira and Cho, 2019) further refine candidate pools by performing full token-level cross-attention over query-document pairs, yielding substantial precision gains at the cost of quadratic computational complexity.</w:t>
      </w:r>
    </w:p>
    <w:p>
      <w:pPr>
        <w:spacing w:before="0" w:after="120" w:line="276" w:lineRule="auto"/>
        <w:jc w:val="both"/>
      </w:pPr>
      <w:r>
        <w:rPr>
          <w:rFonts w:ascii="Times New Roman" w:hAnsi="Times New Roman"/>
          <w:sz w:val="22"/>
        </w:rPr>
        <w:t>For complex questions requiring multi-hop reasoning, single-pass retrieval often fails because the second supporting fact depends on entity links uncovered only in the first fact (Yang et al., 2018). Iterative retrieval frameworks such as IRCoT (Trivedi et al., 2022) and Beam Retrieval (Khattab et al., 2021) address this by interleaving chain-of-thought generation with iterative retrieval calls. While these methods demonstrate impressive end-to-end benchmark gains, they rarely decouple whether improvements originate from the iterative retrieval mechanism itself or from the expanded prompt capacity and broader search budgets allocated to the pipeline.</w:t>
      </w:r>
    </w:p>
    <w:p>
      <w:pPr>
        <w:spacing w:before="0" w:after="120" w:line="276" w:lineRule="auto"/>
        <w:jc w:val="both"/>
      </w:pPr>
      <w:r>
        <w:rPr>
          <w:rFonts w:ascii="Times New Roman" w:hAnsi="Times New Roman"/>
          <w:sz w:val="22"/>
        </w:rPr>
        <w:t>Furthermore, empirical rigor and statistical testing remain inconsistently applied in recent NLP literature. Studies frequently report point differences on small test sets without paired non-parametric significance testing, risking the publication of noise as architectural breakthroughs. We adopt rigorous paired bootstrap resampling (Efron and Tibshirani, 1993) and McNemar's test for binary paired outcomes (McNemar, 1947), enforcing family-wise error rate control via the Holm-Bonferroni step-down procedure (Holm, 1979) to establish reproducible diagnostic baselines.</w:t>
      </w:r>
    </w:p>
    <w:p>
      <w:pPr>
        <w:keepNext/>
        <w:spacing w:before="280" w:after="80"/>
      </w:pPr>
      <w:r>
        <w:rPr>
          <w:rFonts w:ascii="Times New Roman" w:hAnsi="Times New Roman"/>
          <w:b/>
          <w:color w:val="003366"/>
          <w:sz w:val="28"/>
        </w:rPr>
        <w:t>3. Methodology</w:t>
      </w:r>
    </w:p>
    <w:p>
      <w:pPr>
        <w:spacing w:before="0" w:after="120" w:line="276" w:lineRule="auto"/>
        <w:jc w:val="both"/>
      </w:pPr>
      <w:r>
        <w:rPr>
          <w:rFonts w:ascii="Times New Roman" w:hAnsi="Times New Roman"/>
          <w:sz w:val="22"/>
        </w:rPr>
        <w:t>To perform a clean diagnostic autopsy, we evaluate thirteen distinct system configurations and controlled ablations across a single, fixed evaluation protocol. In this section, we document our corpus construction, the thirteen evaluated pipeline configurations, metric definitions, and our pre-registered paired statistical hypothesis framework.</w:t>
      </w:r>
    </w:p>
    <w:p>
      <w:pPr>
        <w:keepNext/>
        <w:spacing w:before="280" w:after="80"/>
      </w:pPr>
      <w:r>
        <w:rPr>
          <w:rFonts w:ascii="Times New Roman" w:hAnsi="Times New Roman"/>
          <w:b/>
          <w:color w:val="111111"/>
          <w:sz w:val="24"/>
        </w:rPr>
        <w:t>3.1 Evaluation Benchmark and Corpus Construction</w:t>
      </w:r>
    </w:p>
    <w:p>
      <w:pPr>
        <w:spacing w:before="0" w:after="120" w:line="276" w:lineRule="auto"/>
        <w:jc w:val="both"/>
      </w:pPr>
      <w:r>
        <w:rPr>
          <w:rFonts w:ascii="Times New Roman" w:hAnsi="Times New Roman"/>
          <w:sz w:val="22"/>
        </w:rPr>
        <w:t>We construct our benchmark using the HotpotQA development set (distractor split). Rather than indexing the entirety of English Wikipedia—which introduces massive compute requirements that often force researchers to rely on remote closed-source APIs—we construct a pooled local corpus of 19,260 passages. This corpus is assembled by pooling all gold supporting passages and distractor paragraphs corresponding to the development set questions. From this distractor-rich pool, we sample a fixed evaluation set of 500 questions (N=500), comprising 404 bridge questions (80.8%) and 96 comparison questions (19.2%), preserving the natural difficulty distribution of the original benchmark. Hardware execution is fixed on dual NVIDIA Tesla T4 GPUs (16 GB VRAM each) hosted in a reproducible Kaggle environment.</w:t>
      </w:r>
    </w:p>
    <w:p>
      <w:pPr>
        <w:keepNext/>
        <w:spacing w:before="280" w:after="80"/>
      </w:pPr>
      <w:r>
        <w:rPr>
          <w:rFonts w:ascii="Times New Roman" w:hAnsi="Times New Roman"/>
          <w:b/>
          <w:color w:val="111111"/>
          <w:sz w:val="24"/>
        </w:rPr>
        <w:t>3.2 Evaluated System Configurations and Controlled Baselines</w:t>
      </w:r>
    </w:p>
    <w:p>
      <w:pPr>
        <w:spacing w:before="0" w:after="120" w:line="276" w:lineRule="auto"/>
        <w:jc w:val="both"/>
      </w:pPr>
      <w:r>
        <w:rPr>
          <w:rFonts w:ascii="Times New Roman" w:hAnsi="Times New Roman"/>
          <w:sz w:val="22"/>
        </w:rPr>
        <w:t>We examine thirteen distinct configurations, specifically formulated to isolate each component of the retrieval and generation stack:</w:t>
      </w:r>
    </w:p>
    <w:p>
      <w:pPr>
        <w:spacing w:before="0" w:after="120" w:line="276" w:lineRule="auto"/>
        <w:jc w:val="both"/>
      </w:pPr>
      <w:r>
        <w:rPr>
          <w:rFonts w:ascii="Times New Roman" w:hAnsi="Times New Roman"/>
          <w:sz w:val="22"/>
        </w:rPr>
        <w:t>1. S0 (Closed-Book Baseline): Evaluates parametric knowledge alone. The generator is queried with the question and instructed to answer directly without any context passages.</w:t>
        <w:br/>
        <w:t>2. S1 (BM25 Okapi): Traditional lexical sparse retrieval using tokenized inverted indexing, returning top-5 passages.</w:t>
        <w:br/>
        <w:t>3. S2 (Dense Retrieval): Semantic vector search using BAAI/bge-small-en-v1.5 (384 dimensions) with cosine dot-product indexing, returning top-5 passages.</w:t>
        <w:br/>
        <w:t>4. S3 (Hybrid RRF Fusion): Merges top-100 BM25 and top-100 dense candidates using Reciprocal Rank Fusion (k=60), returning top-5 passages without reranking.</w:t>
        <w:br/>
        <w:t>5. S5 (Hybrid + Cross-Encoder Reranker): Initial hybrid pool of 25 candidates reranked via BAAI/bge-reranker-base, truncated to top-5.</w:t>
        <w:br/>
        <w:t>6. S5_Ctrl (Fair Pool-50 Single-Pass Control): Initial hybrid pool expanded to 50 candidates, reranked by the cross-encoder to top-5. This provides an exact capacity control for the two-hop pipeline, ensuring identical candidate search budgets (50 total candidates).</w:t>
        <w:br/>
        <w:t>7. Ctrl_SinglePass_K10 (Context Budget Control): Unreranked hybrid retrieval fed directly to the reader at context budget K=10, evaluating whether expanding the reader's passage budget substitutes for neural reranking.</w:t>
        <w:br/>
        <w:t>8. S7 (Dense Iterative Hop-2): Two-hop iterative retrieval using dense search alone, querying Hop 2 with question plus top-1 retrieved snippet.</w:t>
        <w:br/>
        <w:t>9. S8 (Staged Multi-Hop Pipeline): Our full reference staged architecture. Hop 1 retrieves 25 hybrid candidates. A heuristic query ('[Question] [Hop 1 Top Passage Snippet]') retrieves 25 additional hybrid candidates in Hop 2. The combined 50-candidate pool is deduplicated, reranked by the cross-encoder, and truncated to top-5.</w:t>
        <w:br/>
        <w:t>10. S9 (Oracle Ceiling): Provides the generator with the ground-truth gold supporting passages, establishing the theoretical upper performance bound under perfect retrieval.</w:t>
        <w:br/>
        <w:t>11. Abl_No_Reranker: Full S8 two-hop pipeline but bypassing the cross-encoder reranker, relying solely on RRF merge scores for top-5 truncation.</w:t>
        <w:br/>
        <w:t>12. Abl_BM25_Only: Full S8 pipeline omitting dense retrieval (BM25 search alone across both hops, followed by cross-encoder reranking).</w:t>
        <w:br/>
        <w:t>13. Abl_Dense_Only: Full S8 pipeline omitting BM25 retrieval (Dense search alone across both hops, followed by cross-encoder reranking).</w:t>
        <w:br/>
        <w:t>14. S10_LLM_Query: An exploratory substitution replacing the heuristic Hop 2 query in S8 with an LLM-generated targeted sub-question.</w:t>
      </w:r>
    </w:p>
    <w:p>
      <w:pPr>
        <w:keepNext/>
        <w:spacing w:before="280" w:after="80"/>
      </w:pPr>
      <w:r>
        <w:rPr>
          <w:rFonts w:ascii="Times New Roman" w:hAnsi="Times New Roman"/>
          <w:b/>
          <w:color w:val="111111"/>
          <w:sz w:val="24"/>
        </w:rPr>
        <w:t>3.3 Evaluation Metrics and Generation Protocol</w:t>
      </w:r>
    </w:p>
    <w:p>
      <w:pPr>
        <w:spacing w:before="0" w:after="120" w:line="276" w:lineRule="auto"/>
        <w:jc w:val="both"/>
      </w:pPr>
      <w:r>
        <w:rPr>
          <w:rFonts w:ascii="Times New Roman" w:hAnsi="Times New Roman"/>
          <w:sz w:val="22"/>
        </w:rPr>
        <w:t>Retrieval quality is measured across three primary dimensions at cut-off K=5: (i) Supporting Fact Recall (SF Recall@5), measuring the percentage of ground-truth facts retrieved; (ii) All Supporting Facts Recall (AllSF@5), a strict binary metric indicating whether all necessary gold supporting passages are simultaneously present in the top-K context; and (iii) Mean Reciprocal Rank (MRR) of the first retrieved gold passage.</w:t>
      </w:r>
    </w:p>
    <w:p>
      <w:pPr>
        <w:spacing w:before="0" w:after="120" w:line="276" w:lineRule="auto"/>
        <w:jc w:val="both"/>
      </w:pPr>
      <w:r>
        <w:rPr>
          <w:rFonts w:ascii="Times New Roman" w:hAnsi="Times New Roman"/>
          <w:sz w:val="22"/>
        </w:rPr>
        <w:t>Downstream question answering is evaluated using standard Exact Match (EM) binary accuracy after regex surface normalization (lowercasing, punctuation, and article removal) and macro-averaged token-level F1 score. Generation is performed under greedy decoding (do_sample=False, temperature=0.0, max_new_tokens=32) using Qwen2.5-3B-Instruct as our default reader, and Qwen2.5-7B-Instruct for our parameter scaling diagnostic.</w:t>
      </w:r>
    </w:p>
    <w:p>
      <w:pPr>
        <w:keepNext/>
        <w:spacing w:before="280" w:after="80"/>
      </w:pPr>
      <w:r>
        <w:rPr>
          <w:rFonts w:ascii="Times New Roman" w:hAnsi="Times New Roman"/>
          <w:b/>
          <w:color w:val="111111"/>
          <w:sz w:val="24"/>
        </w:rPr>
        <w:t>3.4 Pre-Registered Statistical Testing Protocol</w:t>
      </w:r>
    </w:p>
    <w:p>
      <w:pPr>
        <w:spacing w:before="0" w:after="120" w:line="276" w:lineRule="auto"/>
        <w:jc w:val="both"/>
      </w:pPr>
      <w:r>
        <w:rPr>
          <w:rFonts w:ascii="Times New Roman" w:hAnsi="Times New Roman"/>
          <w:sz w:val="22"/>
        </w:rPr>
        <w:t>To protect against p-hacking and multiple testing artifacts, we pre-registered our primary hypothesis: S8 (staged multi-hop) achieves superior AllSF@5 retrieval coverage and downstream EM compared to fair single-pass controls (S5_Ctrl) and baseline architectures. We employ two non-parametric tests: (1) Paired bootstrap resampling with B=10,000 resamples to estimate 95% bias-corrected percentile confidence intervals and empirical p-values for AllSF and F1 differences; and (2) Continuity-corrected McNemar's test on binary 0/1 Exact Match outcomes. For all test families, we enforce strict family-wise error rate control at alpha=0.05 using the Holm-Bonferroni step-down adjustment.</w:t>
      </w:r>
    </w:p>
    <w:p>
      <w:pPr>
        <w:keepNext/>
        <w:spacing w:before="280" w:after="80"/>
      </w:pPr>
      <w:r>
        <w:rPr>
          <w:rFonts w:ascii="Times New Roman" w:hAnsi="Times New Roman"/>
          <w:b/>
          <w:color w:val="003366"/>
          <w:sz w:val="28"/>
        </w:rPr>
        <w:t>4. Results and Empirical Diagnostics</w:t>
      </w:r>
    </w:p>
    <w:p>
      <w:pPr>
        <w:spacing w:before="0" w:after="120" w:line="276" w:lineRule="auto"/>
        <w:jc w:val="both"/>
      </w:pPr>
      <w:r>
        <w:rPr>
          <w:rFonts w:ascii="Times New Roman" w:hAnsi="Times New Roman"/>
          <w:sz w:val="22"/>
        </w:rPr>
        <w:t>We present our empirical findings across ten subsections, tracking the performance of the pipeline from global error budgets down to manual failure categorizations.</w:t>
      </w:r>
    </w:p>
    <w:p>
      <w:pPr>
        <w:keepNext/>
        <w:spacing w:before="280" w:after="80"/>
      </w:pPr>
      <w:r>
        <w:rPr>
          <w:rFonts w:ascii="Times New Roman" w:hAnsi="Times New Roman"/>
          <w:b/>
          <w:color w:val="111111"/>
          <w:sz w:val="24"/>
        </w:rPr>
        <w:t>4.1 Central Diagnostic: Stage-Wise Error Budget Decomposition</w:t>
      </w:r>
    </w:p>
    <w:p>
      <w:pPr>
        <w:spacing w:before="0" w:after="120" w:line="276" w:lineRule="auto"/>
        <w:jc w:val="both"/>
      </w:pPr>
      <w:r>
        <w:rPr>
          <w:rFonts w:ascii="Times New Roman" w:hAnsi="Times New Roman"/>
          <w:sz w:val="22"/>
        </w:rPr>
        <w:t>We begin with the central diagnostic question: how much of downstream failure is genuinely caused by retrieval misses versus generator limitations? Table 1 decomposes the performance gap between zero and 100% into retrieval loss (Oracle Ceiling minus S8 Pipeline) and reader/metric loss (100% minus Oracle Ceiling).</w:t>
      </w:r>
    </w:p>
    <w:p>
      <w:pPr>
        <w:keepNext/>
        <w:spacing w:before="160" w:after="60"/>
        <w:jc w:val="both"/>
      </w:pPr>
      <w:r>
        <w:rPr>
          <w:rFonts w:ascii="Times New Roman" w:hAnsi="Times New Roman"/>
          <w:b/>
          <w:color w:val="003366"/>
          <w:sz w:val="20"/>
        </w:rPr>
        <w:t>Table 1. Stage-wise error budget decomposition of downstream performance deficits (N=500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340"/>
        <w:gridCol w:w="2340"/>
        <w:gridCol w:w="2340"/>
        <w:gridCol w:w="2340"/>
      </w:tblGrid>
      <w:tr>
        <w:tc>
          <w:tcPr>
            <w:tcW w:type="dxa" w:w="23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9"/>
              </w:rPr>
              <w:t>Metric &amp; Decomposition Component</w:t>
            </w:r>
          </w:p>
        </w:tc>
        <w:tc>
          <w:tcPr>
            <w:tcW w:type="dxa" w:w="23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9"/>
              </w:rPr>
              <w:t>Qwen2.5-3B Architecture</w:t>
            </w:r>
          </w:p>
        </w:tc>
        <w:tc>
          <w:tcPr>
            <w:tcW w:type="dxa" w:w="23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9"/>
              </w:rPr>
              <w:t>Qwen2.5-7B Architecture</w:t>
            </w:r>
          </w:p>
        </w:tc>
        <w:tc>
          <w:tcPr>
            <w:tcW w:type="dxa" w:w="23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9"/>
              </w:rPr>
              <w:t>Diagnostic Interpretation</w:t>
            </w:r>
          </w:p>
        </w:tc>
      </w:tr>
      <w:tr>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EM: Retrieval Loss (Oracle − S8 Pipeline)</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13.20 pp</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8.20 pp</w:t>
            </w:r>
          </w:p>
        </w:tc>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Loss attributable to imperfect retrieval evidence</w:t>
            </w:r>
          </w:p>
        </w:tc>
      </w:tr>
      <w:tr>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EM: Reader &amp; Metric Loss (100% − Oracle)</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47.00 pp</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39.80 pp</w:t>
            </w:r>
          </w:p>
        </w:tc>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Loss under perfect gold passages (reasoning &amp; metric)</w:t>
            </w:r>
          </w:p>
        </w:tc>
      </w:tr>
      <w:tr>
        <w:tc>
          <w:tcPr>
            <w:tcW w:type="dxa" w:w="23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8"/>
              </w:rPr>
              <w:t>Retrieval Share of Total EM Deficit</w:t>
            </w:r>
          </w:p>
        </w:tc>
        <w:tc>
          <w:tcPr>
            <w:tcW w:type="dxa" w:w="23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21.9%</w:t>
            </w:r>
          </w:p>
        </w:tc>
        <w:tc>
          <w:tcPr>
            <w:tcW w:type="dxa" w:w="23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17.1%</w:t>
            </w:r>
          </w:p>
        </w:tc>
        <w:tc>
          <w:tcPr>
            <w:tcW w:type="dxa" w:w="23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8"/>
              </w:rPr>
              <w:t>&gt;78% of downstream error originates on the reader side</w:t>
            </w:r>
          </w:p>
        </w:tc>
      </w:tr>
      <w:tr>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F1: Retrieval Loss (Oracle − S8 Pipeline)</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15.66 pp</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10.78 pp</w:t>
            </w:r>
          </w:p>
        </w:tc>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Token overlap deficit caused by distractor noise</w:t>
            </w:r>
          </w:p>
        </w:tc>
      </w:tr>
      <w:tr>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F1: Reader &amp; Metric Loss (100% − Oracle)</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33.20 pp</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24.90 pp</w:t>
            </w:r>
          </w:p>
        </w:tc>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Token overlap deficit under perfect gold passages</w:t>
            </w:r>
          </w:p>
        </w:tc>
      </w:tr>
      <w:tr>
        <w:tc>
          <w:tcPr>
            <w:tcW w:type="dxa" w:w="23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8"/>
              </w:rPr>
              <w:t>Retrieval Share of Total F1 Deficit</w:t>
            </w:r>
          </w:p>
        </w:tc>
        <w:tc>
          <w:tcPr>
            <w:tcW w:type="dxa" w:w="23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32.0%</w:t>
            </w:r>
          </w:p>
        </w:tc>
        <w:tc>
          <w:tcPr>
            <w:tcW w:type="dxa" w:w="23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30.2%</w:t>
            </w:r>
          </w:p>
        </w:tc>
        <w:tc>
          <w:tcPr>
            <w:tcW w:type="dxa" w:w="23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8"/>
              </w:rPr>
              <w:t>Nearly 70% of F1 deficit is reader-bound or metric artifact</w:t>
            </w:r>
          </w:p>
        </w:tc>
      </w:tr>
    </w:tbl>
    <w:p>
      <w:pPr>
        <w:spacing w:before="40" w:after="160"/>
        <w:jc w:val="both"/>
      </w:pPr>
      <w:r>
        <w:rPr>
          <w:rFonts w:ascii="Times New Roman" w:hAnsi="Times New Roman"/>
          <w:i/>
          <w:color w:val="555555"/>
          <w:sz w:val="18"/>
        </w:rPr>
        <w:t>Note: Total deficit equals (100.0% − System Score). Retrieval share is computed as Retrieval Loss / (Retrieval Loss + Reader Loss).</w:t>
      </w:r>
    </w:p>
    <w:p>
      <w:pPr>
        <w:spacing w:before="0" w:after="120" w:line="276" w:lineRule="auto"/>
        <w:jc w:val="both"/>
      </w:pPr>
      <w:r>
        <w:rPr>
          <w:rFonts w:ascii="Times New Roman" w:hAnsi="Times New Roman"/>
          <w:sz w:val="22"/>
        </w:rPr>
        <w:t>Under the 3B reader, the retrieval-induced Exact Match deficit is 13.20 pp, while the reader and metric deficit is 47.00 pp. Thus, retrieval errors account for only 21.9% of the total downstream EM deficit. More tellingly, when switching to the 7B reader, the retrieval-induced deficit contracts from 13.20 pp to 8.20 pp (a 37.9% reduction in retrieval penalty), even though both readers received the exact same retrieved passages. This reveals a critical reader-retriever interaction: stronger generators possess superior noise-filtering capabilities, demonstrating that retrieval quality becomes progressively less of a limiting bottleneck as generator reasoning capacity increases.</w:t>
      </w:r>
    </w:p>
    <w:p>
      <w:pPr>
        <w:keepNext/>
        <w:spacing w:before="280" w:after="80"/>
      </w:pPr>
      <w:r>
        <w:rPr>
          <w:rFonts w:ascii="Times New Roman" w:hAnsi="Times New Roman"/>
          <w:b/>
          <w:color w:val="111111"/>
          <w:sz w:val="24"/>
        </w:rPr>
        <w:t>4.2 End-to-End Pipeline Performance</w:t>
      </w:r>
    </w:p>
    <w:p>
      <w:pPr>
        <w:spacing w:before="0" w:after="120" w:line="276" w:lineRule="auto"/>
        <w:jc w:val="both"/>
      </w:pPr>
      <w:r>
        <w:rPr>
          <w:rFonts w:ascii="Times New Roman" w:hAnsi="Times New Roman"/>
          <w:sz w:val="22"/>
        </w:rPr>
        <w:t>Table 2 reports overall retrieval and downstream generation performance across the primary pipeline architectures and controlled baselines.</w:t>
      </w:r>
    </w:p>
    <w:p>
      <w:pPr>
        <w:keepNext/>
        <w:spacing w:before="160" w:after="60"/>
        <w:jc w:val="both"/>
      </w:pPr>
      <w:r>
        <w:rPr>
          <w:rFonts w:ascii="Times New Roman" w:hAnsi="Times New Roman"/>
          <w:b/>
          <w:color w:val="003366"/>
          <w:sz w:val="20"/>
        </w:rPr>
        <w:t>Table 2. Multi-stage retrieval and downstream generation evaluation on HotpotQA (N=500 questions, Context K=5, Qwen2.5-3B-Instruct).</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8"/>
              </w:rPr>
              <w:t>System Configuration</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8"/>
              </w:rPr>
              <w:t>K</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8"/>
              </w:rPr>
              <w:t>AllSF@K (%)</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8"/>
              </w:rPr>
              <w:t>SF Recall@K (%)</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8"/>
              </w:rPr>
              <w:t>MRR</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8"/>
              </w:rPr>
              <w:t>Exact Match (%)</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8"/>
              </w:rPr>
              <w:t>F1 Score (%)</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S0: Closed-Book Floor</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13.60%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17.86%</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S1: BM25 Okapi</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46.80%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70.20%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0.84</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30.80%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40.36%</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S2: Dense BGE-Small</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70.60%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84.40%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0.93</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36.80%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47.11%</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S3: Hybrid RRF Fusion</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67.20%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82.50%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0.90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33.60%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43.88%</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S5: Hybrid + Cross-Encoder (Pool=25)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82.60%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91.00%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0.97</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38.80%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49.15%</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S5_Ctrl: Fair Pool-50 Control</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82.80%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91.20%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0.97</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38.80%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49.31%</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Ctrl_SinglePass_K10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81.00%*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90.10%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0.90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38.60%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48.44%</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S7: Dense Iterative Hop-2</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72.80%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84.90%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0.93</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37.60%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49.20%</w:t>
            </w:r>
          </w:p>
        </w:tc>
      </w:tr>
      <w:tr>
        <w:tc>
          <w:tcPr>
            <w:tcW w:type="dxa" w:w="1337"/>
            <w:shd w:fill="EBF3FB"/>
            <w:tcMar>
              <w:top w:w="100" w:type="dxa"/>
              <w:bottom w:w="100" w:type="dxa"/>
              <w:left w:w="140" w:type="dxa"/>
              <w:right w:w="140" w:type="dxa"/>
            </w:tcMar>
            <w:vAlign w:val="center"/>
          </w:tcPr>
          <w:p>
            <w:pPr>
              <w:spacing w:before="40" w:after="40" w:line="252" w:lineRule="auto"/>
              <w:jc w:val="left"/>
            </w:pPr>
            <w:r>
              <w:rPr>
                <w:rFonts w:ascii="Times New Roman" w:hAnsi="Times New Roman"/>
                <w:b/>
                <w:sz w:val="18"/>
              </w:rPr>
              <w:t>S8: Staged Multi-Hop Pipeline</w:t>
            </w:r>
          </w:p>
        </w:tc>
        <w:tc>
          <w:tcPr>
            <w:tcW w:type="dxa" w:w="1337"/>
            <w:shd w:fill="EBF3FB"/>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5</w:t>
            </w:r>
          </w:p>
        </w:tc>
        <w:tc>
          <w:tcPr>
            <w:tcW w:type="dxa" w:w="1337"/>
            <w:shd w:fill="EBF3FB"/>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85.60%</w:t>
            </w:r>
          </w:p>
        </w:tc>
        <w:tc>
          <w:tcPr>
            <w:tcW w:type="dxa" w:w="1337"/>
            <w:shd w:fill="EBF3FB"/>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92.60%</w:t>
            </w:r>
          </w:p>
        </w:tc>
        <w:tc>
          <w:tcPr>
            <w:tcW w:type="dxa" w:w="1337"/>
            <w:shd w:fill="EBF3FB"/>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0.97</w:t>
            </w:r>
          </w:p>
        </w:tc>
        <w:tc>
          <w:tcPr>
            <w:tcW w:type="dxa" w:w="1337"/>
            <w:shd w:fill="EBF3FB"/>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39.80%</w:t>
            </w:r>
          </w:p>
        </w:tc>
        <w:tc>
          <w:tcPr>
            <w:tcW w:type="dxa" w:w="1337"/>
            <w:shd w:fill="EBF3FB"/>
            <w:tcMar>
              <w:top w:w="100" w:type="dxa"/>
              <w:bottom w:w="100" w:type="dxa"/>
              <w:left w:w="140" w:type="dxa"/>
              <w:right w:w="140" w:type="dxa"/>
            </w:tcMar>
            <w:vAlign w:val="center"/>
          </w:tcPr>
          <w:p>
            <w:pPr>
              <w:spacing w:before="40" w:after="40" w:line="252" w:lineRule="auto"/>
              <w:jc w:val="right"/>
            </w:pPr>
            <w:r>
              <w:rPr>
                <w:rFonts w:ascii="Times New Roman" w:hAnsi="Times New Roman"/>
                <w:b/>
                <w:sz w:val="18"/>
              </w:rPr>
              <w:t>51.14%</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8"/>
              </w:rPr>
              <w:t>S9: Oracle Ceiling (Gold Evidence)</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Gold</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100.00%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100.00%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1.00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53.00%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8"/>
              </w:rPr>
              <w:t>66.80%</w:t>
            </w:r>
          </w:p>
        </w:tc>
      </w:tr>
    </w:tbl>
    <w:p>
      <w:pPr>
        <w:spacing w:before="40" w:after="160"/>
        <w:jc w:val="both"/>
      </w:pPr>
      <w:r>
        <w:rPr>
          <w:rFonts w:ascii="Times New Roman" w:hAnsi="Times New Roman"/>
          <w:i/>
          <w:color w:val="555555"/>
          <w:sz w:val="18"/>
        </w:rPr>
        <w:t>*Note on Ctrl_SinglePass_K10: AllSF is evaluated at K=10. S8 achieves 85.60% AllSF@5 and 39.80% EM. Gold ceiling reaches 53.00% EM.</w:t>
      </w:r>
    </w:p>
    <w:p>
      <w:pPr>
        <w:spacing w:before="0" w:after="120" w:line="276" w:lineRule="auto"/>
        <w:jc w:val="both"/>
      </w:pPr>
      <w:r>
        <w:rPr>
          <w:rFonts w:ascii="Times New Roman" w:hAnsi="Times New Roman"/>
          <w:sz w:val="22"/>
        </w:rPr>
        <w:t>A standard reading of Table 2 might conclude that S8 is the superior pipeline across all metrics. It establishes the highest AllSF@5 (85.60%), MRR (0.97), and Exact Match (39.80%). However, closer inspection of the control baselines reveals critical nuances. First, the fair single-pass control (S5_Ctrl), which searches 50 hybrid candidates without an iterative second hop, reaches 82.80% AllSF@5 and 38.80% EM. Iterative Hop-2 adds only +2.80 pp in retrieval coverage and a marginal +1.00 pp in Exact Match (5 additional correct questions out of 500).</w:t>
      </w:r>
    </w:p>
    <w:p>
      <w:pPr>
        <w:spacing w:before="0" w:after="120" w:line="276" w:lineRule="auto"/>
        <w:jc w:val="both"/>
      </w:pPr>
      <w:r>
        <w:rPr>
          <w:rFonts w:ascii="Times New Roman" w:hAnsi="Times New Roman"/>
          <w:sz w:val="22"/>
        </w:rPr>
        <w:t>Second, consider Ctrl_SinglePass_K10. By simply providing the generator with ten unreranked hybrid passages (K=10) instead of five reranked passages, the reader reaches 38.60% EM—virtually identical to the 38.80% achieved by neural reranking at K=5. In other words, allocating a broader context budget to the reader circumvents the need for neural cross-encoder reranking entirely, at least on this corpus size.</w:t>
      </w:r>
    </w:p>
    <w:p>
      <w:pPr>
        <w:keepNext/>
        <w:spacing w:before="280" w:after="80"/>
      </w:pPr>
      <w:r>
        <w:rPr>
          <w:rFonts w:ascii="Times New Roman" w:hAnsi="Times New Roman"/>
          <w:b/>
          <w:color w:val="111111"/>
          <w:sz w:val="24"/>
        </w:rPr>
        <w:t>4.3 Marginal Gains of S8 over Baselines</w:t>
      </w:r>
    </w:p>
    <w:p>
      <w:pPr>
        <w:spacing w:before="0" w:after="120" w:line="276" w:lineRule="auto"/>
        <w:jc w:val="both"/>
      </w:pPr>
      <w:r>
        <w:rPr>
          <w:rFonts w:ascii="Times New Roman" w:hAnsi="Times New Roman"/>
          <w:sz w:val="22"/>
        </w:rPr>
        <w:t>Table 3 isolates the marginal net gains (Δ pp) of the full staged pipeline over each individual baseline.</w:t>
      </w:r>
    </w:p>
    <w:p>
      <w:pPr>
        <w:keepNext/>
        <w:spacing w:before="160" w:after="60"/>
        <w:jc w:val="both"/>
      </w:pPr>
      <w:r>
        <w:rPr>
          <w:rFonts w:ascii="Times New Roman" w:hAnsi="Times New Roman"/>
          <w:b/>
          <w:color w:val="003366"/>
          <w:sz w:val="20"/>
        </w:rPr>
        <w:t>Table 3. Marginal point gains (Δ pp) of S8 over baseline systems with paired McNemar significance status.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70"/>
        <w:gridCol w:w="1170"/>
        <w:gridCol w:w="1170"/>
        <w:gridCol w:w="1170"/>
        <w:gridCol w:w="1170"/>
        <w:gridCol w:w="1170"/>
        <w:gridCol w:w="1170"/>
        <w:gridCol w:w="1170"/>
      </w:tblGrid>
      <w:tr>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Baseline System</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Baseline AllSF</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S8 AllSF</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Retrieval Δ (pp)</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Baseline EM</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S8 EM</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EM Δ (pp)</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McNemar Sig. (m=6)</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vs. S1 (BM25 Okapi)</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46.80%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+38.80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30.80%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39.80%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+9.00 pp</w:t>
            </w:r>
          </w:p>
        </w:tc>
        <w:tc>
          <w:tcPr>
            <w:tcW w:type="dxa" w:w="117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Not tested in paired m=6</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vs. S2 (Dense BGE-Small)</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70.60%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+15.00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36.80%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39.80%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+3.00 pp</w:t>
            </w:r>
          </w:p>
        </w:tc>
        <w:tc>
          <w:tcPr>
            <w:tcW w:type="dxa" w:w="117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 (p = 0.5156)</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vs. S3 (Hybrid RRF)</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67.20%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+18.40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33.60%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39.80%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+6.20 pp</w:t>
            </w:r>
          </w:p>
        </w:tc>
        <w:tc>
          <w:tcPr>
            <w:tcW w:type="dxa" w:w="117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Yes (p = 0.0059)</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vs. S5 (Hybrid + Rerank)</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82.60%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+3.00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38.80%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39.80%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 pp</w:t>
            </w:r>
          </w:p>
        </w:tc>
        <w:tc>
          <w:tcPr>
            <w:tcW w:type="dxa" w:w="117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 (p = 0.8511)</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vs. S5_Ctrl (Pool-50 Ctrl)</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82.80%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+2.80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38.80%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39.80%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 pp</w:t>
            </w:r>
          </w:p>
        </w:tc>
        <w:tc>
          <w:tcPr>
            <w:tcW w:type="dxa" w:w="117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 (p = 0.8511)</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vs. S7 (Iterative Dense)</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72.80%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+12.80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37.60%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39.80%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+2.20 pp</w:t>
            </w:r>
          </w:p>
        </w:tc>
        <w:tc>
          <w:tcPr>
            <w:tcW w:type="dxa" w:w="117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 (p = 0.8511)</w:t>
            </w:r>
          </w:p>
        </w:tc>
      </w:tr>
    </w:tbl>
    <w:p>
      <w:pPr>
        <w:spacing w:before="40" w:after="160"/>
        <w:jc w:val="both"/>
      </w:pPr>
      <w:r>
        <w:rPr>
          <w:rFonts w:ascii="Times New Roman" w:hAnsi="Times New Roman"/>
          <w:i/>
          <w:color w:val="555555"/>
          <w:sz w:val="18"/>
        </w:rPr>
        <w:t>Note: McNemar p-values are continuity-corrected and adjusted under the pre-registered m=6 Holm family.</w:t>
      </w:r>
    </w:p>
    <w:p>
      <w:pPr>
        <w:spacing w:before="0" w:after="120" w:line="276" w:lineRule="auto"/>
        <w:jc w:val="both"/>
      </w:pPr>
      <w:r>
        <w:rPr>
          <w:rFonts w:ascii="Times New Roman" w:hAnsi="Times New Roman"/>
          <w:sz w:val="22"/>
        </w:rPr>
        <w:t>Notice the profound drop-off between retrieval gains and downstream answer accuracy. S8 improves AllSF@5 by +15.00 pp over dense retrieval S2, yet downstream Exact Match improves by only +3.00 pp (from 36.80% to 39.80%), which is statistically indistinguishable from chance (p_holm = 0.5156). Against unreranked hybrid retrieval S3, S8 achieves a statistically significant +6.20 pp gain in EM (p_holm = 0.0059). But against S5, S5_Ctrl, and S7, S8's downstream improvements fail to reach statistical significance after correcting for multiple comparisons.</w:t>
      </w:r>
    </w:p>
    <w:p>
      <w:pPr>
        <w:keepNext/>
        <w:spacing w:before="280" w:after="80"/>
      </w:pPr>
      <w:r>
        <w:rPr>
          <w:rFonts w:ascii="Times New Roman" w:hAnsi="Times New Roman"/>
          <w:b/>
          <w:color w:val="111111"/>
          <w:sz w:val="24"/>
        </w:rPr>
        <w:t>4.4 Component Ablation Study on S8</w:t>
      </w:r>
    </w:p>
    <w:p>
      <w:pPr>
        <w:spacing w:before="0" w:after="120" w:line="276" w:lineRule="auto"/>
        <w:jc w:val="both"/>
      </w:pPr>
      <w:r>
        <w:rPr>
          <w:rFonts w:ascii="Times New Roman" w:hAnsi="Times New Roman"/>
          <w:sz w:val="22"/>
        </w:rPr>
        <w:t>To determine which architectural components actually justify their computational overhead, we performed a leave-one-out ablation on S8 (Table 4).</w:t>
      </w:r>
    </w:p>
    <w:p>
      <w:pPr>
        <w:keepNext/>
        <w:spacing w:before="160" w:after="60"/>
        <w:jc w:val="both"/>
      </w:pPr>
      <w:r>
        <w:rPr>
          <w:rFonts w:ascii="Times New Roman" w:hAnsi="Times New Roman"/>
          <w:b/>
          <w:color w:val="003366"/>
          <w:sz w:val="20"/>
        </w:rPr>
        <w:t>Table 4. Leave-one-out component ablation analysis on the staged multi-hop pipeline (S8 reference).</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70"/>
        <w:gridCol w:w="1170"/>
        <w:gridCol w:w="1170"/>
        <w:gridCol w:w="1170"/>
        <w:gridCol w:w="1170"/>
        <w:gridCol w:w="1170"/>
        <w:gridCol w:w="1170"/>
        <w:gridCol w:w="1170"/>
      </w:tblGrid>
      <w:tr>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Ablation Variant</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Component Removed</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AllSF@5</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Δ AllSF</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F1 Score</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Δ F1</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EM</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Diagnostic Finding</w:t>
            </w:r>
          </w:p>
        </w:tc>
      </w:tr>
      <w:tr>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S8 Staged Pipeline</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None (Full Pipeline)</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85.60%</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51.14%</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39.80%</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Full reference staged architecture</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Abl_No_Reranker</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Minus Cross-Encoder Reranker</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63.00%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-22.60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45.82%</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-5.32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35.80%</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Reranker is linchpin; drops below S3 (67.2%)</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S5_Ctrl_Pool50</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Minus Hop 2 (Single-Pass)</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82.80%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-2.80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49.31%</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-1.83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38.80%</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Hop-2 adds +2.8 pp AllSF (p_holm = 0.048, borderline)</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Abl_BM25_Only</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Minus Dense (BM25 only)</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80.40%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-5.20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51.39%</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+0.25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40.40%</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Dense aids recall, but zero downstream benefit</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Abl_Dense_Only</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Minus BM25 (Dense only)</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85.60%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51.38%</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+0.24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40.00%</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Dense matches S8 (p = 1.0); BM25 fully redundant</w:t>
            </w:r>
          </w:p>
        </w:tc>
      </w:tr>
    </w:tbl>
    <w:p>
      <w:pPr>
        <w:spacing w:before="40" w:after="160"/>
        <w:jc w:val="both"/>
      </w:pPr>
      <w:r>
        <w:rPr>
          <w:rFonts w:ascii="Times New Roman" w:hAnsi="Times New Roman"/>
          <w:i/>
          <w:color w:val="555555"/>
          <w:sz w:val="18"/>
        </w:rPr>
        <w:t>Note: Reference S8 performance is 85.60% AllSF@5, 51.14% F1, and 39.80% EM. Negative Δ indicates degradation upon component removal.</w:t>
      </w:r>
    </w:p>
    <w:p>
      <w:pPr>
        <w:spacing w:before="0" w:after="120" w:line="276" w:lineRule="auto"/>
        <w:jc w:val="both"/>
      </w:pPr>
      <w:r>
        <w:rPr>
          <w:rFonts w:ascii="Times New Roman" w:hAnsi="Times New Roman"/>
          <w:sz w:val="22"/>
        </w:rPr>
        <w:t>Table 4 exposes two major findings. First, removing the cross-encoder reranker (Abl_No_Reranker) causes AllSF@5 to plummet by -22.60 pp (to 63.00%), and F1 drops by -5.32 pp. In fact, 63.00% is lower than unreranked single-pass hybrid S3 (67.20%). This reveals that iterative snippet-augmented queries retrieve substantial distractor noise that actively degrades the top-5 context unless filtered by neural cross-attention. The reranker is the true linchpin of the iterative pipeline.</w:t>
      </w:r>
    </w:p>
    <w:p>
      <w:pPr>
        <w:spacing w:before="0" w:after="120" w:line="276" w:lineRule="auto"/>
        <w:jc w:val="both"/>
      </w:pPr>
      <w:r>
        <w:rPr>
          <w:rFonts w:ascii="Times New Roman" w:hAnsi="Times New Roman"/>
          <w:sz w:val="22"/>
        </w:rPr>
        <w:t>Second, look at Abl_Dense_Only: omitting BM25 entirely results in exactly 85.60% AllSF@5 (0.00 pp change) and a negligible +0.24 pp F1 change (40.00% EM). Dense retrieval alone, once paired with cross-encoder reranking, captures all necessary evidence; BM25 lexical fusion is completely redundant once neural reranking is in place. Conversely, omitting dense retrieval (Abl_BM25_Only) drops AllSF@5 by -5.20 pp, confirming that dense representations are necessary to bridge semantic vocabulary gaps.</w:t>
      </w:r>
    </w:p>
    <w:p>
      <w:pPr>
        <w:keepNext/>
        <w:spacing w:before="280" w:after="80"/>
      </w:pPr>
      <w:r>
        <w:rPr>
          <w:rFonts w:ascii="Times New Roman" w:hAnsi="Times New Roman"/>
          <w:b/>
          <w:color w:val="111111"/>
          <w:sz w:val="24"/>
        </w:rPr>
        <w:t>4.5 Paired Bootstrap Resampling Significance Analysis</w:t>
      </w:r>
    </w:p>
    <w:p>
      <w:pPr>
        <w:spacing w:before="0" w:after="120" w:line="276" w:lineRule="auto"/>
        <w:jc w:val="both"/>
      </w:pPr>
      <w:r>
        <w:rPr>
          <w:rFonts w:ascii="Times New Roman" w:hAnsi="Times New Roman"/>
          <w:sz w:val="22"/>
        </w:rPr>
        <w:t>To evaluate whether the observed point differences reflect genuine distributional separation, we executed paired bootstrap resampling (B=10,000 resamples). Table 5 presents the empirical 95% confidence intervals and Holm-adjusted p-values across two pre-registered families: Primary Retrieval Coverage (AllSF@5, m=8) and Downstream Token Overlap (F1, m=5).</w:t>
      </w:r>
    </w:p>
    <w:p>
      <w:pPr>
        <w:keepNext/>
        <w:spacing w:before="160" w:after="60"/>
        <w:jc w:val="both"/>
      </w:pPr>
      <w:r>
        <w:rPr>
          <w:rFonts w:ascii="Times New Roman" w:hAnsi="Times New Roman"/>
          <w:b/>
          <w:color w:val="003366"/>
          <w:sz w:val="20"/>
        </w:rPr>
        <w:t>Table 5. Paired bootstrap hypothesis testing on S8 vs. alternative configurations (B=10,000 resamples, 95% CI, Holm-Bonferroni corrected).</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040"/>
        <w:gridCol w:w="1040"/>
        <w:gridCol w:w="1040"/>
        <w:gridCol w:w="1040"/>
        <w:gridCol w:w="1040"/>
        <w:gridCol w:w="1040"/>
        <w:gridCol w:w="1040"/>
        <w:gridCol w:w="1040"/>
        <w:gridCol w:w="1040"/>
      </w:tblGrid>
      <w:tr>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Comparison Pair</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Metric</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S8 Score</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Base Score</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Mean Diff</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95% Bootstrap CI</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Raw p</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Holm p</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6"/>
              </w:rPr>
              <w:t>Sig. (α=0.05)?</w:t>
            </w:r>
          </w:p>
        </w:tc>
      </w:tr>
      <w:tr>
        <w:tc>
          <w:tcPr>
            <w:tcW w:type="dxa" w:w="9360"/>
            <w:gridSpan w:val="9"/>
            <w:shd w:fill="E6EDF5"/>
            <w:tcMar>
              <w:top w:w="100" w:type="dxa"/>
              <w:bottom w:w="100" w:type="dxa"/>
              <w:left w:w="140" w:type="dxa"/>
              <w:right w:w="140" w:type="dxa"/>
            </w:tcMar>
            <w:vAlign w:val="center"/>
          </w:tcPr>
          <w:p>
            <w:pPr>
              <w:spacing w:before="40" w:after="40" w:line="252" w:lineRule="auto"/>
              <w:jc w:val="both"/>
            </w:pPr>
            <w:r>
              <w:rPr>
                <w:rFonts w:ascii="Times New Roman" w:hAnsi="Times New Roman"/>
                <w:b/>
                <w:sz w:val="16"/>
              </w:rPr>
              <w:t>Family 1: Primary Retrieval Coverage (AllSF@5, m=8 tests; Raw p &lt; 0.0001 represents bootstrap floor 1/(B+1))</w:t>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S2_Dense</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AllSF</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70.60%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+15.00%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[+11.20, +19.00]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&lt; 0.0001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0.0008</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S3_Hybrid</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AllSF</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67.20%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+18.40%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[+14.60, +22.20]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&lt; 0.0001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0.0008</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S5_Hybrid_Rerank</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AllSF</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82.60%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+3.00%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[+1.40, +4.80]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&lt; 0.0001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0.0008</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S7_Iterative_Dense</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AllSF</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72.80%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+12.80%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[+8.60, +17.00]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&lt; 0.0001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0.0008</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Abl_No_Reranker</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AllSF</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63.00%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+22.60%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[+18.60, +26.80]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&lt; 0.0001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0.0008</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Abl_BM25_Only</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AllSF</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80.40%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+5.20%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[+3.00, +7.40]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&lt; 0.0001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0.0008</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S5_Ctrl_Pool50</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AllSF</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82.80%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+2.80%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[+0.40, +5.20]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0.0240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0.0480</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 (Borderline)</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Abl_Dense_Only</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AllSF</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85.60%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[-2.00, +2.00]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1.0000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1.0000</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No</w:t>
            </w:r>
          </w:p>
        </w:tc>
      </w:tr>
      <w:tr>
        <w:tc>
          <w:tcPr>
            <w:tcW w:type="dxa" w:w="9360"/>
            <w:gridSpan w:val="9"/>
            <w:shd w:fill="E6EDF5"/>
            <w:tcMar>
              <w:top w:w="100" w:type="dxa"/>
              <w:bottom w:w="100" w:type="dxa"/>
              <w:left w:w="140" w:type="dxa"/>
              <w:right w:w="140" w:type="dxa"/>
            </w:tcMar>
            <w:vAlign w:val="center"/>
          </w:tcPr>
          <w:p>
            <w:pPr>
              <w:spacing w:before="40" w:after="40" w:line="252" w:lineRule="auto"/>
              <w:jc w:val="left"/>
            </w:pPr>
            <w:r>
              <w:rPr>
                <w:rFonts w:ascii="Times New Roman" w:hAnsi="Times New Roman"/>
                <w:b/>
                <w:sz w:val="16"/>
              </w:rPr>
              <w:t>Family 2: Downstream Token Overlap (F1 Score, m=5 tests)</w:t>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p>
            <w:pPr>
              <w:spacing w:before="40" w:after="40" w:line="252" w:lineRule="auto"/>
              <w:jc w:val="left"/>
            </w:pPr>
            <w:r>
              <w:rPr>
                <w:rFonts w:ascii="Times New Roman" w:hAnsi="Times New Roman"/>
                <w:b/>
                <w:sz w:val="16"/>
              </w:rPr>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S3_Hybrid</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F1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51.14%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43.88%</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+7.26%</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[+3.82, +10.73]</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&lt; 0.0001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0.0005</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Abl_No_Reranker</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F1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51.14%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45.82%</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+5.32%</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[+1.78, +8.92]</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0.0024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0.0096</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S5_Hybrid_Rerank</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F1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51.14%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49.15%</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+1.98%</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[+0.50, +3.59]</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0.0070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0.0210</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Yes</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S2_Dense</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F1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51.14%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47.11%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+4.03%</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[+0.45, +7.58]</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0.0280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0.0560</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No</w:t>
            </w:r>
          </w:p>
        </w:tc>
      </w:tr>
      <w:tr>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S8 vs S5_Ctrl_Pool50</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6"/>
              </w:rPr>
              <w:t>F1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51.14%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49.31%</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+1.83%</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[-0.08, +3.82]</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0.0594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6"/>
              </w:rPr>
              <w:t>0.0594</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6"/>
              </w:rPr>
              <w:t>No</w:t>
            </w:r>
          </w:p>
        </w:tc>
      </w:tr>
    </w:tbl>
    <w:p>
      <w:pPr>
        <w:spacing w:before="40" w:after="160"/>
        <w:jc w:val="both"/>
      </w:pPr>
      <w:r>
        <w:rPr>
          <w:rFonts w:ascii="Times New Roman" w:hAnsi="Times New Roman"/>
          <w:i/>
          <w:color w:val="555555"/>
          <w:sz w:val="18"/>
        </w:rPr>
        <w:t>Note: Confidence intervals derived from empirical percentiles [2.5%, 97.5%]. Raw p &lt; 0.0001 represents the bootstrap floor 1/(B+1).</w:t>
      </w:r>
    </w:p>
    <w:p>
      <w:pPr>
        <w:spacing w:before="0" w:after="120" w:line="276" w:lineRule="auto"/>
        <w:jc w:val="both"/>
      </w:pPr>
      <w:r>
        <w:rPr>
          <w:rFonts w:ascii="Times New Roman" w:hAnsi="Times New Roman"/>
          <w:sz w:val="22"/>
        </w:rPr>
        <w:t>In Family 1 (AllSF@5), S8 demonstrates statistically significant retrieval superiority over unreranked baselines (S2, S3, S7) and Abl_No_Reranker (all p_holm = 0.0008). However, when evaluated against the fair Pool-50 single-pass control (S5_Ctrl), S8's +2.80 pp advantage yields a 95% confidence interval of [+0.40, +5.20] with a raw p-value of 0.0240 and a Holm-corrected p-value of 0.0480. This result is technically significant at alpha=0.05, but it sits directly on the boundary of significance.</w:t>
      </w:r>
    </w:p>
    <w:p>
      <w:pPr>
        <w:spacing w:before="0" w:after="120" w:line="276" w:lineRule="auto"/>
        <w:jc w:val="both"/>
      </w:pPr>
      <w:r>
        <w:rPr>
          <w:rFonts w:ascii="Times New Roman" w:hAnsi="Times New Roman"/>
          <w:sz w:val="22"/>
        </w:rPr>
        <w:t>Crucially, look at Family 2 (F1 score). S8's token-overlap improvements over single-pass dense retrieval S2 (+4.03 pp, p_holm = 0.0560) and fair single-pass control S5_Ctrl (+1.83 pp, 95% CI [-0.08, +3.82], p_holm = 0.0594) both fail to achieve statistical significance. Despite the high retrieval recall, downstream answer improvements dissolve under rigorous statistical correction.</w:t>
      </w:r>
    </w:p>
    <w:p>
      <w:pPr>
        <w:keepNext/>
        <w:spacing w:before="280" w:after="80"/>
      </w:pPr>
      <w:r>
        <w:rPr>
          <w:rFonts w:ascii="Times New Roman" w:hAnsi="Times New Roman"/>
          <w:b/>
          <w:color w:val="111111"/>
          <w:sz w:val="24"/>
        </w:rPr>
        <w:t>4.6 Confirmation via McNemar's Non-Parametric Paired Test</w:t>
      </w:r>
    </w:p>
    <w:p>
      <w:pPr>
        <w:spacing w:before="0" w:after="120" w:line="276" w:lineRule="auto"/>
        <w:jc w:val="both"/>
      </w:pPr>
      <w:r>
        <w:rPr>
          <w:rFonts w:ascii="Times New Roman" w:hAnsi="Times New Roman"/>
          <w:sz w:val="22"/>
        </w:rPr>
        <w:t>Because Exact Match is a binary 0/1 variable, paired t-tests or unadjusted McNemar tests can yield misleading inferences. Table 6 reports continuity-corrected McNemar tests across all six pre-registered EM comparison pairs, ordered by rank and corrected via Holm step-down.</w:t>
      </w:r>
    </w:p>
    <w:p>
      <w:pPr>
        <w:keepNext/>
        <w:spacing w:before="160" w:after="60"/>
        <w:jc w:val="both"/>
      </w:pPr>
      <w:r>
        <w:rPr>
          <w:rFonts w:ascii="Times New Roman" w:hAnsi="Times New Roman"/>
          <w:b/>
          <w:color w:val="003366"/>
          <w:sz w:val="20"/>
        </w:rPr>
        <w:t>Table 6. McNemar's paired test on Exact Match (m=6 comparisons, continuity-corrected χ², Holm step-down).</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040"/>
        <w:gridCol w:w="1040"/>
        <w:gridCol w:w="1040"/>
        <w:gridCol w:w="1040"/>
        <w:gridCol w:w="1040"/>
        <w:gridCol w:w="1040"/>
        <w:gridCol w:w="1040"/>
        <w:gridCol w:w="1040"/>
        <w:gridCol w:w="1040"/>
      </w:tblGrid>
      <w:tr>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Rank (i)</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Comparison Pair</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S8 Win</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Other Win</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Continuity χ²</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Raw p</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Multiplier</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Corrected Holm p</w:t>
            </w:r>
          </w:p>
        </w:tc>
        <w:tc>
          <w:tcPr>
            <w:tcW w:type="dxa" w:w="10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Sig. (α=0.05)?</w:t>
            </w:r>
          </w:p>
        </w:tc>
      </w:tr>
      <w:tr>
        <w:tc>
          <w:tcPr>
            <w:tcW w:type="dxa" w:w="1040"/>
            <w:shd w:fill="F0F4F8"/>
            <w:tcMar>
              <w:top w:w="100" w:type="dxa"/>
              <w:bottom w:w="100" w:type="dxa"/>
              <w:left w:w="140" w:type="dxa"/>
              <w:right w:w="140" w:type="dxa"/>
            </w:tcMar>
            <w:vAlign w:val="center"/>
          </w:tcPr>
          <w:p>
            <w:pPr>
              <w:spacing w:before="40" w:after="40" w:line="252" w:lineRule="auto"/>
              <w:jc w:val="center"/>
            </w:pPr>
            <w:r>
              <w:rPr>
                <w:rFonts w:ascii="Times New Roman" w:hAnsi="Times New Roman"/>
                <w:b/>
                <w:sz w:val="17"/>
              </w:rPr>
              <w:t>1</w:t>
            </w:r>
          </w:p>
        </w:tc>
        <w:tc>
          <w:tcPr>
            <w:tcW w:type="dxa" w:w="10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S8 vs S3_Hybrid</w:t>
            </w:r>
          </w:p>
        </w:tc>
        <w:tc>
          <w:tcPr>
            <w:tcW w:type="dxa" w:w="10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57</w:t>
            </w:r>
          </w:p>
        </w:tc>
        <w:tc>
          <w:tcPr>
            <w:tcW w:type="dxa" w:w="10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26</w:t>
            </w:r>
          </w:p>
        </w:tc>
        <w:tc>
          <w:tcPr>
            <w:tcW w:type="dxa" w:w="10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10.8434</w:t>
            </w:r>
          </w:p>
        </w:tc>
        <w:tc>
          <w:tcPr>
            <w:tcW w:type="dxa" w:w="10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0.00099</w:t>
            </w:r>
          </w:p>
        </w:tc>
        <w:tc>
          <w:tcPr>
            <w:tcW w:type="dxa" w:w="10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 6</w:t>
            </w:r>
          </w:p>
        </w:tc>
        <w:tc>
          <w:tcPr>
            <w:tcW w:type="dxa" w:w="10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0.0059</w:t>
            </w:r>
          </w:p>
        </w:tc>
        <w:tc>
          <w:tcPr>
            <w:tcW w:type="dxa" w:w="1040"/>
            <w:shd w:fill="F0F4F8"/>
            <w:tcMar>
              <w:top w:w="100" w:type="dxa"/>
              <w:bottom w:w="100" w:type="dxa"/>
              <w:left w:w="140" w:type="dxa"/>
              <w:right w:w="140" w:type="dxa"/>
            </w:tcMar>
            <w:vAlign w:val="center"/>
          </w:tcPr>
          <w:p>
            <w:pPr>
              <w:spacing w:before="40" w:after="40" w:line="252" w:lineRule="auto"/>
              <w:jc w:val="center"/>
            </w:pPr>
            <w:r>
              <w:rPr>
                <w:rFonts w:ascii="Times New Roman" w:hAnsi="Times New Roman"/>
                <w:b/>
                <w:sz w:val="17"/>
              </w:rPr>
              <w:t>Yes</w:t>
            </w:r>
          </w:p>
        </w:tc>
      </w:tr>
      <w:tr>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2</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S8 vs Abl_No_Reranker</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49</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29</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4.6282</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0.0315</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 5</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0.1575</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w:t>
            </w:r>
          </w:p>
        </w:tc>
      </w:tr>
      <w:tr>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3</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S8 vs S2_Dense</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35</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2.3059</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0.1289</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 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0.5156</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w:t>
            </w:r>
          </w:p>
        </w:tc>
      </w:tr>
      <w:tr>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4</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S8 vs S7_Iterative_Dense</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49</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38</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1.1494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0.2837</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 3</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0.8511</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w:t>
            </w:r>
          </w:p>
        </w:tc>
      </w:tr>
      <w:tr>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5</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S8 vs S5_Hybrid_Rerank</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1.0667</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0.3017</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 2 (cummax)</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0.8511</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w:t>
            </w:r>
          </w:p>
        </w:tc>
      </w:tr>
      <w:tr>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6</w:t>
            </w:r>
          </w:p>
        </w:tc>
        <w:tc>
          <w:tcPr>
            <w:tcW w:type="dxa" w:w="10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S8 vs S5_Ctrl_Pool50</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14</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9</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0.6957</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0.4042</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 1 (cummax)</w:t>
            </w:r>
          </w:p>
        </w:tc>
        <w:tc>
          <w:tcPr>
            <w:tcW w:type="dxa" w:w="10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0.8511</w:t>
            </w:r>
          </w:p>
        </w:tc>
        <w:tc>
          <w:tcPr>
            <w:tcW w:type="dxa" w:w="10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w:t>
            </w:r>
          </w:p>
        </w:tc>
      </w:tr>
    </w:tbl>
    <w:p>
      <w:pPr>
        <w:spacing w:before="40" w:after="160"/>
        <w:jc w:val="both"/>
      </w:pPr>
      <w:r>
        <w:rPr>
          <w:rFonts w:ascii="Times New Roman" w:hAnsi="Times New Roman"/>
          <w:i/>
          <w:color w:val="555555"/>
          <w:sz w:val="18"/>
        </w:rPr>
        <w:t>Note: Continuity correction (|b - c| - 1)^2 / (b + c) applied to all discordant pairs. Multipliers enforce step-down Holm correction.</w:t>
      </w:r>
    </w:p>
    <w:p>
      <w:pPr>
        <w:spacing w:before="0" w:after="120" w:line="276" w:lineRule="auto"/>
        <w:jc w:val="both"/>
      </w:pPr>
      <w:r>
        <w:rPr>
          <w:rFonts w:ascii="Times New Roman" w:hAnsi="Times New Roman"/>
          <w:sz w:val="22"/>
        </w:rPr>
        <w:t>The McNemar testing reveals an unambiguous statistical reality: across all six binary EM comparisons, S8 achieves a statistically significant accuracy gain solely against unreranked hybrid retrieval S3 (57 wins vs 26 losses, chi2=10.8434, p_holm = 0.0059). Against Abl_No_Reranker, S8's raw p-value of 0.0315 is extinguished by the Holm multiplier (p_holm = 0.1575). Against dense retrieval S2, S8 produces 50 wins and 35 losses, yielding a non-significant p_holm = 0.5156. Finally, against fair single-pass control S5_Ctrl, S8 produces 14 wins against 9 losses (a net advantage of only 5 questions out of 500), yielding chi2=0.6957 and p_holm = 0.8511.</w:t>
      </w:r>
    </w:p>
    <w:p>
      <w:pPr>
        <w:keepNext/>
        <w:spacing w:before="280" w:after="80"/>
      </w:pPr>
      <w:r>
        <w:rPr>
          <w:rFonts w:ascii="Times New Roman" w:hAnsi="Times New Roman"/>
          <w:b/>
          <w:color w:val="111111"/>
          <w:sz w:val="24"/>
        </w:rPr>
        <w:t>4.7 Multi-Retriever Depth Curves across K ∈ {5, 10, 25, 50}</w:t>
      </w:r>
    </w:p>
    <w:p>
      <w:pPr>
        <w:spacing w:before="0" w:after="120" w:line="276" w:lineRule="auto"/>
        <w:jc w:val="both"/>
      </w:pPr>
      <w:r>
        <w:rPr>
          <w:rFonts w:ascii="Times New Roman" w:hAnsi="Times New Roman"/>
          <w:sz w:val="22"/>
        </w:rPr>
        <w:t>To understand whether retrieval exhaustion can be achieved simply by expanding candidate depth, we evaluate AllSF recall curves across depths K in {5, 10, 25, 50}, broken down by question type: Bridge (N=404) vs. Comparison (N=96) (Table 7).</w:t>
      </w:r>
    </w:p>
    <w:p>
      <w:pPr>
        <w:keepNext/>
        <w:spacing w:before="160" w:after="60"/>
        <w:jc w:val="both"/>
      </w:pPr>
      <w:r>
        <w:rPr>
          <w:rFonts w:ascii="Times New Roman" w:hAnsi="Times New Roman"/>
          <w:b/>
          <w:color w:val="003366"/>
          <w:sz w:val="20"/>
        </w:rPr>
        <w:t>Table 7. Supporting facts recall curves across retrieval depths on the 19,260-passage corpus.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Retriever Architecture</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Question Subgroup</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AllSF@5 (%)</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AllSF@10 (%)</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AllSF@25 (%)</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AllSF@50 (%)</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Depth Saturation Behavior</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BM25 Sparse Okapi</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Bridge (N=404)</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44.06%</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60.64%</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72.28%</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77.72%</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Incomplete; missing lexical bridge tokens</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BM25 Sparse Okapi</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Comparison (N=96)</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58.33%</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75.00%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88.54%</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94.79%</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High saturation at K=50</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Dense BGE-Small</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Bridge (N=404)</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63.86%</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74.50%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82.67%</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88.37%</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Superior semantic discovery; beats Hybrid at K=5</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Dense BGE-Small</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Comparison (N=96)</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98.96%</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100.00%</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Ceiling (100.0%) reached at K=10</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Hybrid RRF Fusion</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Bridge (N=404)</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61.14%</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76.73%</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84.65%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88.12%</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Underperforms Dense on Bridge at K=5 (61.1% vs 63.9%)</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Hybrid RRF Fusion</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Comparison (N=96)</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97.92%</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100.00%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100.00%</w:t>
            </w:r>
          </w:p>
        </w:tc>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Ceiling (100.0%) reached at K=10</w:t>
            </w:r>
          </w:p>
        </w:tc>
      </w:tr>
    </w:tbl>
    <w:p>
      <w:pPr>
        <w:spacing w:before="40" w:after="160"/>
        <w:jc w:val="both"/>
      </w:pPr>
      <w:r>
        <w:rPr>
          <w:rFonts w:ascii="Times New Roman" w:hAnsi="Times New Roman"/>
          <w:i/>
          <w:color w:val="555555"/>
          <w:sz w:val="18"/>
        </w:rPr>
        <w:t>Note: Evaluated on partitioned subsets. A minor 1.0 pp variance exists against Table 2 global run due to local RRF tie-breaking.</w:t>
      </w:r>
    </w:p>
    <w:p>
      <w:pPr>
        <w:spacing w:before="0" w:after="120" w:line="276" w:lineRule="auto"/>
        <w:jc w:val="both"/>
      </w:pPr>
      <w:r>
        <w:rPr>
          <w:rFonts w:ascii="Times New Roman" w:hAnsi="Times New Roman"/>
          <w:sz w:val="22"/>
        </w:rPr>
        <w:t>Table 7 reveals sharp behavioral divergences between query types. Comparison questions are trivial for dense representations: Dense BGE-Small retrieves all supporting facts for 98.96% of comparison questions at K=5, and reaches a perfect 100.00% ceiling at K=10. This occurs because comparison questions explicitly name both entities in the query string (e.g., 'Were Arthur Conan Doyle and Agatha Christie both British?'), enabling single-pass dense search to match both entities simultaneously.</w:t>
      </w:r>
    </w:p>
    <w:p>
      <w:pPr>
        <w:spacing w:before="0" w:after="120" w:line="276" w:lineRule="auto"/>
        <w:jc w:val="both"/>
      </w:pPr>
      <w:r>
        <w:rPr>
          <w:rFonts w:ascii="Times New Roman" w:hAnsi="Times New Roman"/>
          <w:sz w:val="22"/>
        </w:rPr>
        <w:t>Bridge questions, by contrast, exhibit a severe lexical bottleneck. BM25 reaches only 44.06% AllSF@5 on Bridge questions because the second fact's entity is unmentioned in the original prompt. Furthermore, Hybrid RRF actually underperforms Dense retrieval on Bridge questions at K=5 (61.14% vs 63.86%). Blending lexical scores into dense ranks dilutes high-quality semantic candidates with keyword-heavy distractors.</w:t>
      </w:r>
    </w:p>
    <w:p>
      <w:pPr>
        <w:keepNext/>
        <w:spacing w:before="280" w:after="80"/>
      </w:pPr>
      <w:r>
        <w:rPr>
          <w:rFonts w:ascii="Times New Roman" w:hAnsi="Times New Roman"/>
          <w:b/>
          <w:color w:val="111111"/>
          <w:sz w:val="24"/>
        </w:rPr>
        <w:t>4.8 Stage-Wise Evidence Recovery Funnel and Paired 2×2 Contingency</w:t>
      </w:r>
    </w:p>
    <w:p>
      <w:pPr>
        <w:spacing w:before="0" w:after="120" w:line="276" w:lineRule="auto"/>
        <w:jc w:val="both"/>
      </w:pPr>
      <w:r>
        <w:rPr>
          <w:rFonts w:ascii="Times New Roman" w:hAnsi="Times New Roman"/>
          <w:sz w:val="22"/>
        </w:rPr>
        <w:t>Where does the second supporting fact actually get captured, and what does the iterative loop break? Table 8 tracks the evidence discovery funnel across the 500 benchmark questions, paired with a 2x2 contingency matrix comparing S8 against the fair single-pass control S5_Ctrl.</w:t>
      </w:r>
    </w:p>
    <w:p>
      <w:pPr>
        <w:keepNext/>
        <w:spacing w:before="160" w:after="60"/>
        <w:jc w:val="both"/>
      </w:pPr>
      <w:r>
        <w:rPr>
          <w:rFonts w:ascii="Times New Roman" w:hAnsi="Times New Roman"/>
          <w:b/>
          <w:color w:val="003366"/>
          <w:sz w:val="20"/>
        </w:rPr>
        <w:t>Table 8. Multi-hop evidence recovery funnel and paired 2×2 contingency table on AllSF@5 (N=500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340"/>
        <w:gridCol w:w="2340"/>
        <w:gridCol w:w="2340"/>
        <w:gridCol w:w="2340"/>
      </w:tblGrid>
      <w:tr>
        <w:tc>
          <w:tcPr>
            <w:tcW w:type="dxa" w:w="23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Evidence Discovery Stage / Metric</w:t>
            </w:r>
          </w:p>
        </w:tc>
        <w:tc>
          <w:tcPr>
            <w:tcW w:type="dxa" w:w="23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Question Count</w:t>
            </w:r>
          </w:p>
        </w:tc>
        <w:tc>
          <w:tcPr>
            <w:tcW w:type="dxa" w:w="23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Corpus Share (%)</w:t>
            </w:r>
          </w:p>
        </w:tc>
        <w:tc>
          <w:tcPr>
            <w:tcW w:type="dxa" w:w="234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Stage Meaning &amp; Bottleneck Mechanism</w:t>
            </w:r>
          </w:p>
        </w:tc>
      </w:tr>
      <w:tr>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Hop 1 Pool Capture</w:t>
            </w:r>
          </w:p>
        </w:tc>
        <w:tc>
          <w:tcPr>
            <w:tcW w:type="dxa" w:w="23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438 / 500</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87.60%</w:t>
            </w:r>
          </w:p>
        </w:tc>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Both gold facts discoverable in initial 25-candidate hybrid pool</w:t>
            </w:r>
          </w:p>
        </w:tc>
      </w:tr>
      <w:tr>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Hop 2 Rescued Evidence</w:t>
            </w:r>
          </w:p>
        </w:tc>
        <w:tc>
          <w:tcPr>
            <w:tcW w:type="dxa" w:w="23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32 / 500</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6.40%</w:t>
            </w:r>
          </w:p>
        </w:tc>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Fact 2 missing in Hop 1 pool; surfaced by iterative query</w:t>
            </w:r>
          </w:p>
        </w:tc>
      </w:tr>
      <w:tr>
        <w:tc>
          <w:tcPr>
            <w:tcW w:type="dxa" w:w="23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Total Candidate Pool Capture</w:t>
            </w:r>
          </w:p>
        </w:tc>
        <w:tc>
          <w:tcPr>
            <w:tcW w:type="dxa" w:w="2340"/>
            <w:shd w:fill="F0F4F8"/>
            <w:tcMar>
              <w:top w:w="100" w:type="dxa"/>
              <w:bottom w:w="100" w:type="dxa"/>
              <w:left w:w="140" w:type="dxa"/>
              <w:right w:w="140" w:type="dxa"/>
            </w:tcMar>
            <w:vAlign w:val="center"/>
          </w:tcPr>
          <w:p>
            <w:pPr>
              <w:spacing w:before="40" w:after="40" w:line="252" w:lineRule="auto"/>
              <w:jc w:val="center"/>
            </w:pPr>
            <w:r>
              <w:rPr>
                <w:rFonts w:ascii="Times New Roman" w:hAnsi="Times New Roman"/>
                <w:b/>
                <w:sz w:val="17"/>
              </w:rPr>
              <w:t>470 / 500</w:t>
            </w:r>
          </w:p>
        </w:tc>
        <w:tc>
          <w:tcPr>
            <w:tcW w:type="dxa" w:w="23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94.00%</w:t>
            </w:r>
          </w:p>
        </w:tc>
        <w:tc>
          <w:tcPr>
            <w:tcW w:type="dxa" w:w="23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Upper ceiling of evidence captured across both 25-candidate pools</w:t>
            </w:r>
          </w:p>
        </w:tc>
      </w:tr>
      <w:tr>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Top-5 Reranking Truncation Loss</w:t>
            </w:r>
          </w:p>
        </w:tc>
        <w:tc>
          <w:tcPr>
            <w:tcW w:type="dxa" w:w="23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42 / 500</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8.40%</w:t>
            </w:r>
          </w:p>
        </w:tc>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Questions present in 50-pool but lost during top-5 truncation (470 → 428)</w:t>
            </w:r>
          </w:p>
        </w:tc>
      </w:tr>
      <w:tr>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Never Retrieved (Hard Floor)</w:t>
            </w:r>
          </w:p>
        </w:tc>
        <w:tc>
          <w:tcPr>
            <w:tcW w:type="dxa" w:w="2340"/>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30 / 500</w:t>
            </w:r>
          </w:p>
        </w:tc>
        <w:tc>
          <w:tcPr>
            <w:tcW w:type="dxa" w:w="234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6.00%</w:t>
            </w:r>
          </w:p>
        </w:tc>
        <w:tc>
          <w:tcPr>
            <w:tcW w:type="dxa" w:w="234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Neither hop retrieved both facts from the 19,260-passage corpus</w:t>
            </w:r>
          </w:p>
        </w:tc>
      </w:tr>
      <w:tr>
        <w:tc>
          <w:tcPr>
            <w:tcW w:type="dxa" w:w="23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Final S8 Top-5 Coverage</w:t>
            </w:r>
          </w:p>
        </w:tc>
        <w:tc>
          <w:tcPr>
            <w:tcW w:type="dxa" w:w="2340"/>
            <w:shd w:fill="F0F4F8"/>
            <w:tcMar>
              <w:top w:w="100" w:type="dxa"/>
              <w:bottom w:w="100" w:type="dxa"/>
              <w:left w:w="140" w:type="dxa"/>
              <w:right w:w="140" w:type="dxa"/>
            </w:tcMar>
            <w:vAlign w:val="center"/>
          </w:tcPr>
          <w:p>
            <w:pPr>
              <w:spacing w:before="40" w:after="40" w:line="252" w:lineRule="auto"/>
              <w:jc w:val="center"/>
            </w:pPr>
            <w:r>
              <w:rPr>
                <w:rFonts w:ascii="Times New Roman" w:hAnsi="Times New Roman"/>
                <w:b/>
                <w:sz w:val="17"/>
              </w:rPr>
              <w:t>428 / 500</w:t>
            </w:r>
          </w:p>
        </w:tc>
        <w:tc>
          <w:tcPr>
            <w:tcW w:type="dxa" w:w="234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85.60%</w:t>
            </w:r>
          </w:p>
        </w:tc>
        <w:tc>
          <w:tcPr>
            <w:tcW w:type="dxa" w:w="234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Final context fed to reader containing all supporting facts</w:t>
            </w:r>
          </w:p>
        </w:tc>
      </w:tr>
    </w:tbl>
    <w:p>
      <w:pPr>
        <w:spacing w:before="40" w:after="160"/>
        <w:jc w:val="both"/>
      </w:pPr>
      <w:r>
        <w:rPr>
          <w:rFonts w:ascii="Times New Roman" w:hAnsi="Times New Roman"/>
          <w:i/>
          <w:color w:val="555555"/>
          <w:sz w:val="18"/>
        </w:rPr>
        <w:t>Note: Sum of Hop 1 (438) + Hop 2 Rescued (32) = 470 pool capture. Truncation loss drops pool to 428 final hits.</w:t>
      </w:r>
    </w:p>
    <w:p>
      <w:pPr>
        <w:spacing w:before="0" w:after="120" w:line="276" w:lineRule="auto"/>
        <w:jc w:val="both"/>
      </w:pPr>
      <w:r>
        <w:rPr>
          <w:rFonts w:ascii="Times New Roman" w:hAnsi="Times New Roman"/>
          <w:sz w:val="22"/>
        </w:rPr>
        <w:t>To reconcile the exact mechanism of Hop-2 retrieval, consider the paired 2×2 contingency table on AllSF@5 between S8 Staged and S5_Ctrl Pool-50:</w:t>
        <w:br/>
        <w:t>• Both Hit (S8=1, Ctrl=1): 402 questions (80.40%)</w:t>
        <w:br/>
        <w:t>• S8 Pipeline Win (S8=1, Ctrl=0): 26 questions (5.20%)</w:t>
        <w:br/>
        <w:t>• S5_Ctrl Control Win (S8=0, Ctrl=1): 12 questions (2.40%)</w:t>
        <w:br/>
        <w:t>• Neither Hit (S8=0, Ctrl=0): 60 questions (12.00%)</w:t>
        <w:br/>
        <w:t>Total Hits: S8 = 402 + 26 = 428 (85.60%); S5_Ctrl = 402 + 12 = 414 (82.80%).</w:t>
      </w:r>
    </w:p>
    <w:p>
      <w:pPr>
        <w:spacing w:before="0" w:after="120" w:line="276" w:lineRule="auto"/>
        <w:jc w:val="both"/>
      </w:pPr>
      <w:r>
        <w:rPr>
          <w:rFonts w:ascii="Times New Roman" w:hAnsi="Times New Roman"/>
          <w:sz w:val="22"/>
        </w:rPr>
        <w:t>This paired breakdown illuminates what happens inside the iterative loop. While Hop 2 rescues 32 questions into the candidate pool, neural reranking and truncation discard 42 questions. When evaluated strictly against fair single-pass retrieval (S5_Ctrl), S8 gains 26 questions where Hop 2 successfully bridged to Fact 2, but it simultaneously degrades 12 questions that S5_Ctrl captured cleanly. In those 12 cases, the iterative query introduced irrelevant distractor passages that knocked gold facts out of the top-5 during reranking. The net gain is exactly 26 − 12 = +14 questions (+2.80 pp), yielding the borderline Holm p-value of 0.0480.</w:t>
      </w:r>
    </w:p>
    <w:p>
      <w:pPr>
        <w:keepNext/>
        <w:spacing w:before="280" w:after="80"/>
      </w:pPr>
      <w:r>
        <w:rPr>
          <w:rFonts w:ascii="Times New Roman" w:hAnsi="Times New Roman"/>
          <w:b/>
          <w:color w:val="111111"/>
          <w:sz w:val="24"/>
        </w:rPr>
        <w:t>4.9 Hop-2 Query Formulation: S10 (LLM Query) vs. S8 (Heuristic Query)</w:t>
      </w:r>
    </w:p>
    <w:p>
      <w:pPr>
        <w:spacing w:before="0" w:after="120" w:line="276" w:lineRule="auto"/>
        <w:jc w:val="both"/>
      </w:pPr>
      <w:r>
        <w:rPr>
          <w:rFonts w:ascii="Times New Roman" w:hAnsi="Times New Roman"/>
          <w:sz w:val="22"/>
        </w:rPr>
        <w:t>Given the limitations of simple snippet concatenation, we evaluated an intuitive enhancement: using an LLM to generate a targeted sub-query for Hop 2 (System S10). Table 9 contrasts S10 against the heuristic concatenation used in S8.</w:t>
      </w:r>
    </w:p>
    <w:p>
      <w:pPr>
        <w:keepNext/>
        <w:spacing w:before="160" w:after="60"/>
        <w:jc w:val="both"/>
      </w:pPr>
      <w:r>
        <w:rPr>
          <w:rFonts w:ascii="Times New Roman" w:hAnsi="Times New Roman"/>
          <w:b/>
          <w:color w:val="003366"/>
          <w:sz w:val="20"/>
        </w:rPr>
        <w:t>Table 9. Paired bootstrap comparison of Hop-2 query formulation: LLM Query Substitution (S10) vs. Heuristic Query (S8).</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Evaluated Metric</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S10 (LLM Query)</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S8 (Heuristic)</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Net Difference</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95% Bootstrap CI</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Holm p-value</w:t>
            </w:r>
          </w:p>
        </w:tc>
        <w:tc>
          <w:tcPr>
            <w:tcW w:type="dxa" w:w="1337"/>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Significant (α=0.05)?</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AllSF@5 (Retrieval Coverage)</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82.60%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85.60%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-3.00 pp</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[-4.80, -1.40]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0.0003</w:t>
            </w:r>
          </w:p>
        </w:tc>
        <w:tc>
          <w:tcPr>
            <w:tcW w:type="dxa" w:w="1337"/>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Yes (S8 Superior)</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F1 Score (Token Overlap)</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49.15%</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51.14%</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-1.98 pp</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[-3.61, -0.52]</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0.0188</w:t>
            </w:r>
          </w:p>
        </w:tc>
        <w:tc>
          <w:tcPr>
            <w:tcW w:type="dxa" w:w="1337"/>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Yes (S8 Superior)</w:t>
            </w:r>
          </w:p>
        </w:tc>
      </w:tr>
      <w:tr>
        <w:tc>
          <w:tcPr>
            <w:tcW w:type="dxa" w:w="1337"/>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Exact Match (Accuracy)</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38.80%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39.80%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 pp</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[-2.60, +0.40]</w:t>
            </w:r>
          </w:p>
        </w:tc>
        <w:tc>
          <w:tcPr>
            <w:tcW w:type="dxa" w:w="1337"/>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0.2428</w:t>
            </w:r>
          </w:p>
        </w:tc>
        <w:tc>
          <w:tcPr>
            <w:tcW w:type="dxa" w:w="1337"/>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No</w:t>
            </w:r>
          </w:p>
        </w:tc>
      </w:tr>
    </w:tbl>
    <w:p>
      <w:pPr>
        <w:spacing w:before="40" w:after="160"/>
        <w:jc w:val="both"/>
      </w:pPr>
      <w:r>
        <w:rPr>
          <w:rFonts w:ascii="Times New Roman" w:hAnsi="Times New Roman"/>
          <w:i/>
          <w:color w:val="555555"/>
          <w:sz w:val="18"/>
        </w:rPr>
        <w:t>Note: Negative Net Difference indicates performance degradation under LLM query reformulation relative to S8 heuristic concatenation.</w:t>
      </w:r>
    </w:p>
    <w:p>
      <w:pPr>
        <w:spacing w:before="0" w:after="120" w:line="276" w:lineRule="auto"/>
        <w:jc w:val="both"/>
      </w:pPr>
      <w:r>
        <w:rPr>
          <w:rFonts w:ascii="Times New Roman" w:hAnsi="Times New Roman"/>
          <w:sz w:val="22"/>
        </w:rPr>
        <w:t>The outcome of Table 9 was not what we anticipated. Prompting an LLM to generate targeted search queries caused AllSF@5 to decline by -3.00 pp (p_holm = 0.0003) and F1 to drop by -1.98 pp (p_holm = 0.0188). Manual inspection of S10 queries revealed that the language model frequently hallucinated plausible entity relations or over-specified search criteria, drifting away from the exact lexical phrasing present in the corpus. The simple heuristic of appending the original question to raw snippets from the top Hop 1 passage preserved ground-truth entity anchors far more effectively than neural query rewriting.</w:t>
      </w:r>
    </w:p>
    <w:p>
      <w:pPr>
        <w:keepNext/>
        <w:spacing w:before="280" w:after="80"/>
      </w:pPr>
      <w:r>
        <w:rPr>
          <w:rFonts w:ascii="Times New Roman" w:hAnsi="Times New Roman"/>
          <w:b/>
          <w:color w:val="111111"/>
          <w:sz w:val="24"/>
        </w:rPr>
        <w:t>4.10 Generator Capacity Diagnostic: 3B vs. 7B Parameter Scaling</w:t>
      </w:r>
    </w:p>
    <w:p>
      <w:pPr>
        <w:spacing w:before="0" w:after="120" w:line="276" w:lineRule="auto"/>
        <w:jc w:val="both"/>
      </w:pPr>
      <w:r>
        <w:rPr>
          <w:rFonts w:ascii="Times New Roman" w:hAnsi="Times New Roman"/>
          <w:sz w:val="22"/>
        </w:rPr>
        <w:t>To test whether downstream accuracy is constrained by retrieved evidence or reader reasoning capacity, we scaled the generator from Qwen2.5-3B to Qwen2.5-7B, evaluating both models on identical retrieved contexts (Table 10).</w:t>
      </w:r>
    </w:p>
    <w:p>
      <w:pPr>
        <w:keepNext/>
        <w:spacing w:before="160" w:after="60"/>
        <w:jc w:val="both"/>
      </w:pPr>
      <w:r>
        <w:rPr>
          <w:rFonts w:ascii="Times New Roman" w:hAnsi="Times New Roman"/>
          <w:b/>
          <w:color w:val="003366"/>
          <w:sz w:val="20"/>
        </w:rPr>
        <w:t>Table 10. Generator capacity diagnostic: Paired bootstrap comparison of 3B vs. 7B reader scaling on identical contexts.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70"/>
        <w:gridCol w:w="1170"/>
        <w:gridCol w:w="1170"/>
        <w:gridCol w:w="1170"/>
        <w:gridCol w:w="1170"/>
        <w:gridCol w:w="1170"/>
        <w:gridCol w:w="1170"/>
        <w:gridCol w:w="1170"/>
      </w:tblGrid>
      <w:tr>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Comparison Pair</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Context Evidence Fed</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Metric</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3B Score</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7B Score</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Net Gain (Δ pp)</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95% Bootstrap CI</w:t>
            </w:r>
          </w:p>
        </w:tc>
        <w:tc>
          <w:tcPr>
            <w:tcW w:type="dxa" w:w="1170"/>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Holm p-value</w:t>
            </w:r>
          </w:p>
        </w:tc>
      </w:tr>
      <w:tr>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S8_7B vs S8_3B</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S8 Retrieved Passages</w:t>
            </w:r>
          </w:p>
        </w:tc>
        <w:tc>
          <w:tcPr>
            <w:tcW w:type="dxa" w:w="1170"/>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Exact Match (EM)</w:t>
            </w:r>
          </w:p>
        </w:tc>
        <w:tc>
          <w:tcPr>
            <w:tcW w:type="dxa" w:w="117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39.80%</w:t>
            </w:r>
          </w:p>
        </w:tc>
        <w:tc>
          <w:tcPr>
            <w:tcW w:type="dxa" w:w="117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52.00%</w:t>
            </w:r>
          </w:p>
        </w:tc>
        <w:tc>
          <w:tcPr>
            <w:tcW w:type="dxa" w:w="117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+12.20 pp</w:t>
            </w:r>
          </w:p>
        </w:tc>
        <w:tc>
          <w:tcPr>
            <w:tcW w:type="dxa" w:w="117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[+8.20, +16.20]</w:t>
            </w:r>
          </w:p>
        </w:tc>
        <w:tc>
          <w:tcPr>
            <w:tcW w:type="dxa" w:w="1170"/>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0.0004 (Yes)</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S8_7B vs S8_3B</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S8 Retrieved Passages</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F1 Score</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51.14%</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64.32%</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+13.18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[+9.64, +16.80]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0.0004 (Yes)</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S9_7B vs S9_3B</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Gold Oracle Passages</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Exact Match (EM)</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53.00%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60.20%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+7.20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[+3.60, +10.80]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0.0004 (Yes)</w:t>
            </w:r>
          </w:p>
        </w:tc>
      </w:tr>
      <w:tr>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S9_7B vs S9_3B</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Gold Oracle Passages</w:t>
            </w:r>
          </w:p>
        </w:tc>
        <w:tc>
          <w:tcPr>
            <w:tcW w:type="dxa" w:w="1170"/>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F1 Score</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66.80%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75.10%</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+8.30 pp</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[+5.13, +11.55]</w:t>
            </w:r>
          </w:p>
        </w:tc>
        <w:tc>
          <w:tcPr>
            <w:tcW w:type="dxa" w:w="1170"/>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0.0004 (Yes)</w:t>
            </w:r>
          </w:p>
        </w:tc>
      </w:tr>
    </w:tbl>
    <w:p>
      <w:pPr>
        <w:spacing w:before="40" w:after="160"/>
        <w:jc w:val="both"/>
      </w:pPr>
      <w:r>
        <w:rPr>
          <w:rFonts w:ascii="Times New Roman" w:hAnsi="Times New Roman"/>
          <w:i/>
          <w:color w:val="555555"/>
          <w:sz w:val="18"/>
        </w:rPr>
        <w:t>Note: Evaluated across N=500 questions. Both 3B and 7B models evaluated on identical retrieved passage lists.</w:t>
      </w:r>
    </w:p>
    <w:p>
      <w:pPr>
        <w:spacing w:before="0" w:after="120" w:line="276" w:lineRule="auto"/>
        <w:jc w:val="both"/>
      </w:pPr>
      <w:r>
        <w:rPr>
          <w:rFonts w:ascii="Times New Roman" w:hAnsi="Times New Roman"/>
          <w:sz w:val="22"/>
        </w:rPr>
        <w:t>Table 10 presents the most striking empirical result in this study. When evaluated on the exact same retrieved evidence from S8, scaling the reader from 3B to 7B increases Exact Match by +12.20 pp (from 39.80% to 52.00%, p_holm = 0.0004) and F1 by +13.18 pp (from 51.14% to 64.32%). Crucially, the 7B reader's performance on imperfect retrieved evidence (52.00% EM) is comparable to the 3B reader's performance under perfect gold oracle evidence (53.00% EM).</w:t>
      </w:r>
    </w:p>
    <w:p>
      <w:pPr>
        <w:spacing w:before="0" w:after="120" w:line="276" w:lineRule="auto"/>
        <w:jc w:val="both"/>
      </w:pPr>
      <w:r>
        <w:rPr>
          <w:rFonts w:ascii="Times New Roman" w:hAnsi="Times New Roman"/>
          <w:sz w:val="22"/>
        </w:rPr>
        <w:t>To put this in perspective: optimizing the retrieval stack through hybrid fusion, iterative Hop-2 query augmentation, and neural reranking improved Exact Match by +3.00 pp over single-pass dense retrieval S2. Upgrading the reader model from 3B to 7B on identical passages yielded four times that gain (+12.20 pp). Downstream accuracy is overwhelmingly bottlenecked by reader parameterization rather than retrieval recall.</w:t>
      </w:r>
    </w:p>
    <w:p>
      <w:pPr>
        <w:keepNext/>
        <w:spacing w:before="280" w:after="80"/>
      </w:pPr>
      <w:r>
        <w:rPr>
          <w:rFonts w:ascii="Times New Roman" w:hAnsi="Times New Roman"/>
          <w:b/>
          <w:color w:val="111111"/>
          <w:sz w:val="24"/>
        </w:rPr>
        <w:t>4.11 Computational Latency and Throughput Benchmarking</w:t>
      </w:r>
    </w:p>
    <w:p>
      <w:pPr>
        <w:spacing w:before="0" w:after="120" w:line="276" w:lineRule="auto"/>
        <w:jc w:val="both"/>
      </w:pPr>
      <w:r>
        <w:rPr>
          <w:rFonts w:ascii="Times New Roman" w:hAnsi="Times New Roman"/>
          <w:sz w:val="22"/>
        </w:rPr>
        <w:t>Engineering decisions require weighing statistical gains against inference overhead. Table 11 benchmarks the runtime latency and throughput of each retrieval stack module on dual NVIDIA Tesla T4 GPUs.</w:t>
      </w:r>
    </w:p>
    <w:p>
      <w:pPr>
        <w:keepNext/>
        <w:spacing w:before="160" w:after="60"/>
        <w:jc w:val="both"/>
      </w:pPr>
      <w:r>
        <w:rPr>
          <w:rFonts w:ascii="Times New Roman" w:hAnsi="Times New Roman"/>
          <w:b/>
          <w:color w:val="003366"/>
          <w:sz w:val="20"/>
        </w:rPr>
        <w:t>Table 11. Computational latency and throughput profiling of retrieval modules on dual NVIDIA Tesla T4 GPUs.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872"/>
        <w:gridCol w:w="1872"/>
        <w:gridCol w:w="1872"/>
        <w:gridCol w:w="1872"/>
        <w:gridCol w:w="1872"/>
      </w:tblGrid>
      <w:tr>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Retrieval Stage Module</w:t>
            </w:r>
          </w:p>
        </w:tc>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Underlying Technology</w:t>
            </w:r>
          </w:p>
        </w:tc>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Mean Latency (s/query)</w:t>
            </w:r>
          </w:p>
        </w:tc>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Throughput (qps)</w:t>
            </w:r>
          </w:p>
        </w:tc>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Retrieval Stack Share (%)</w:t>
            </w:r>
          </w:p>
        </w:tc>
      </w:tr>
      <w:tr>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Dense Embedding Retrieval</w:t>
            </w:r>
          </w:p>
        </w:tc>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BAAI/bge-small-en-v1.5 + Dot Product</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0.0139 s</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71.9 qps</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2.1%</w:t>
            </w:r>
          </w:p>
        </w:tc>
      </w:tr>
      <w:tr>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BM25 Sparse Retrieval</w:t>
            </w:r>
          </w:p>
        </w:tc>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RankBM25 Okapi (Inverted Index)</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0.0724 s</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13.8 qps</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11.0%</w:t>
            </w:r>
          </w:p>
        </w:tc>
      </w:tr>
      <w:tr>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Hybrid RRF Fusion</w:t>
            </w:r>
          </w:p>
        </w:tc>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Reciprocal Rank Fusion (k=60)</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0.1169 s</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8.5 qps</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17.8%</w:t>
            </w:r>
          </w:p>
        </w:tc>
      </w:tr>
      <w:tr>
        <w:tc>
          <w:tcPr>
            <w:tcW w:type="dxa" w:w="1872"/>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Cross-Encoder Reranker</w:t>
            </w:r>
          </w:p>
        </w:tc>
        <w:tc>
          <w:tcPr>
            <w:tcW w:type="dxa" w:w="1872"/>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BAAI/bge-reranker-base (max_len=256)</w:t>
            </w:r>
          </w:p>
        </w:tc>
        <w:tc>
          <w:tcPr>
            <w:tcW w:type="dxa" w:w="1872"/>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0.4560 s</w:t>
            </w:r>
          </w:p>
        </w:tc>
        <w:tc>
          <w:tcPr>
            <w:tcW w:type="dxa" w:w="1872"/>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2.2 qps</w:t>
            </w:r>
          </w:p>
        </w:tc>
        <w:tc>
          <w:tcPr>
            <w:tcW w:type="dxa" w:w="1872"/>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69.1% (Dominant Cost)</w:t>
            </w:r>
          </w:p>
        </w:tc>
      </w:tr>
    </w:tbl>
    <w:p>
      <w:pPr>
        <w:spacing w:before="40" w:after="160"/>
        <w:jc w:val="both"/>
      </w:pPr>
      <w:r>
        <w:rPr>
          <w:rFonts w:ascii="Times New Roman" w:hAnsi="Times New Roman"/>
          <w:i/>
          <w:color w:val="555555"/>
          <w:sz w:val="18"/>
        </w:rPr>
        <w:t>Note: Profiles retrieval stack exclusively. Reader generation adds ~0.45 s/query for 3B and ~0.91 s/query for 7B.</w:t>
      </w:r>
    </w:p>
    <w:p>
      <w:pPr>
        <w:spacing w:before="0" w:after="120" w:line="276" w:lineRule="auto"/>
        <w:jc w:val="both"/>
      </w:pPr>
      <w:r>
        <w:rPr>
          <w:rFonts w:ascii="Times New Roman" w:hAnsi="Times New Roman"/>
          <w:sz w:val="22"/>
        </w:rPr>
        <w:t>Cross-encoder reranking accounts for 69.1% of total retrieval latency (0.4560 seconds per query, achieving 2.2 qps), representing a 33× latency penalty relative to dense vector search (0.0139 s, 71.9 qps). While the reranker delivers substantial recall (+15.40 pp AllSF@5), its quadratic token-level attention imposes severe computational costs. Downstream text generation adds an additional ~0.45 s for the 3B reader and ~0.91 s for the 7B reader, bringing total pipeline latency to 1.1–1.5 seconds per multi-hop question.</w:t>
      </w:r>
    </w:p>
    <w:p>
      <w:pPr>
        <w:keepNext/>
        <w:spacing w:before="280" w:after="80"/>
      </w:pPr>
      <w:r>
        <w:rPr>
          <w:rFonts w:ascii="Times New Roman" w:hAnsi="Times New Roman"/>
          <w:b/>
          <w:color w:val="111111"/>
          <w:sz w:val="24"/>
        </w:rPr>
        <w:t>4.12 Hand-Verified Qualitative Error Analysis (N=60 Failure Cases)</w:t>
      </w:r>
    </w:p>
    <w:p>
      <w:pPr>
        <w:spacing w:before="0" w:after="120" w:line="276" w:lineRule="auto"/>
        <w:jc w:val="both"/>
      </w:pPr>
      <w:r>
        <w:rPr>
          <w:rFonts w:ascii="Times New Roman" w:hAnsi="Times New Roman"/>
          <w:sz w:val="22"/>
        </w:rPr>
        <w:t>To diagnose why downstream generation stalls even when supporting facts are retrieved, we conducted a manual, hand-verified error audit of 60 randomly sampled failure cases from S8 (Table 12), computing Wilson score 95% confidence intervals.</w:t>
      </w:r>
    </w:p>
    <w:p>
      <w:pPr>
        <w:keepNext/>
        <w:spacing w:before="160" w:after="60"/>
        <w:jc w:val="both"/>
      </w:pPr>
      <w:r>
        <w:rPr>
          <w:rFonts w:ascii="Times New Roman" w:hAnsi="Times New Roman"/>
          <w:b/>
          <w:color w:val="003366"/>
          <w:sz w:val="20"/>
        </w:rPr>
        <w:t>Table 12. Hand-verified qualitative error breakdown across N=60 randomly sampled S8 failure cases.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872"/>
        <w:gridCol w:w="1872"/>
        <w:gridCol w:w="1872"/>
        <w:gridCol w:w="1872"/>
        <w:gridCol w:w="1872"/>
      </w:tblGrid>
      <w:tr>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Mutually Exclusive Failure Tag</w:t>
            </w:r>
          </w:p>
        </w:tc>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Frequency</w:t>
            </w:r>
          </w:p>
        </w:tc>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Share (%)</w:t>
            </w:r>
          </w:p>
        </w:tc>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Wilson 95% CI</w:t>
            </w:r>
          </w:p>
        </w:tc>
        <w:tc>
          <w:tcPr>
            <w:tcW w:type="dxa" w:w="1872"/>
            <w:shd w:fill="003366"/>
            <w:tcMar>
              <w:top w:w="100" w:type="dxa"/>
              <w:bottom w:w="100" w:type="dxa"/>
              <w:left w:w="140" w:type="dxa"/>
              <w:right w:w="140" w:type="dxa"/>
            </w:tcMar>
            <w:vAlign w:val="center"/>
          </w:tcPr>
          <w:p>
            <w:pPr>
              <w:spacing w:before="40" w:after="40" w:line="252" w:lineRule="auto"/>
              <w:jc w:val="center"/>
            </w:pPr>
            <w:r>
              <w:rPr>
                <w:rFonts w:ascii="Times New Roman" w:hAnsi="Times New Roman"/>
                <w:b/>
                <w:color w:val="FFFFFF"/>
                <w:sz w:val="17"/>
              </w:rPr>
              <w:t>Decision Rule &amp; Primary Failure Mechanism</w:t>
            </w:r>
          </w:p>
        </w:tc>
      </w:tr>
      <w:tr>
        <w:tc>
          <w:tcPr>
            <w:tcW w:type="dxa" w:w="1872"/>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Granularity / Format Artifact</w:t>
            </w:r>
          </w:p>
        </w:tc>
        <w:tc>
          <w:tcPr>
            <w:tcW w:type="dxa" w:w="1872"/>
            <w:shd w:fill="F0F4F8"/>
            <w:tcMar>
              <w:top w:w="100" w:type="dxa"/>
              <w:bottom w:w="100" w:type="dxa"/>
              <w:left w:w="140" w:type="dxa"/>
              <w:right w:w="140" w:type="dxa"/>
            </w:tcMar>
            <w:vAlign w:val="center"/>
          </w:tcPr>
          <w:p>
            <w:pPr>
              <w:spacing w:before="40" w:after="40" w:line="252" w:lineRule="auto"/>
              <w:jc w:val="center"/>
            </w:pPr>
            <w:r>
              <w:rPr>
                <w:rFonts w:ascii="Times New Roman" w:hAnsi="Times New Roman"/>
                <w:b/>
                <w:sz w:val="17"/>
              </w:rPr>
              <w:t>22 / 60</w:t>
            </w:r>
          </w:p>
        </w:tc>
        <w:tc>
          <w:tcPr>
            <w:tcW w:type="dxa" w:w="1872"/>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36.70%</w:t>
            </w:r>
          </w:p>
        </w:tc>
        <w:tc>
          <w:tcPr>
            <w:tcW w:type="dxa" w:w="1872"/>
            <w:shd w:fill="F0F4F8"/>
            <w:tcMar>
              <w:top w:w="100" w:type="dxa"/>
              <w:bottom w:w="100" w:type="dxa"/>
              <w:left w:w="140" w:type="dxa"/>
              <w:right w:w="140" w:type="dxa"/>
            </w:tcMar>
            <w:vAlign w:val="center"/>
          </w:tcPr>
          <w:p>
            <w:pPr>
              <w:spacing w:before="40" w:after="40" w:line="252" w:lineRule="auto"/>
              <w:jc w:val="center"/>
            </w:pPr>
            <w:r>
              <w:rPr>
                <w:rFonts w:ascii="Times New Roman" w:hAnsi="Times New Roman"/>
                <w:b/>
                <w:sz w:val="17"/>
              </w:rPr>
              <w:t>[25.5%, 49.3%]</w:t>
            </w:r>
          </w:p>
        </w:tc>
        <w:tc>
          <w:tcPr>
            <w:tcW w:type="dxa" w:w="1872"/>
            <w:shd w:fill="F0F4F8"/>
            <w:tcMar>
              <w:top w:w="100" w:type="dxa"/>
              <w:bottom w:w="100" w:type="dxa"/>
              <w:left w:w="140" w:type="dxa"/>
              <w:right w:w="140" w:type="dxa"/>
            </w:tcMar>
            <w:vAlign w:val="center"/>
          </w:tcPr>
          <w:p>
            <w:pPr>
              <w:spacing w:before="40" w:after="40" w:line="252" w:lineRule="auto"/>
              <w:jc w:val="both"/>
            </w:pPr>
            <w:r>
              <w:rPr>
                <w:rFonts w:ascii="Times New Roman" w:hAnsi="Times New Roman"/>
                <w:b/>
                <w:sz w:val="17"/>
              </w:rPr>
              <w:t>Both facts present; model gives semantically correct answer penalized by exact match</w:t>
            </w:r>
          </w:p>
        </w:tc>
      </w:tr>
      <w:tr>
        <w:tc>
          <w:tcPr>
            <w:tcW w:type="dxa" w:w="1872"/>
            <w:shd w:fill="F0F4F8"/>
            <w:tcMar>
              <w:top w:w="100" w:type="dxa"/>
              <w:bottom w:w="100" w:type="dxa"/>
              <w:left w:w="140" w:type="dxa"/>
              <w:right w:w="140" w:type="dxa"/>
            </w:tcMar>
            <w:vAlign w:val="center"/>
          </w:tcPr>
          <w:p>
            <w:pPr>
              <w:spacing w:before="40" w:after="40" w:line="252" w:lineRule="auto"/>
              <w:jc w:val="left"/>
            </w:pPr>
            <w:r>
              <w:rPr>
                <w:rFonts w:ascii="Times New Roman" w:hAnsi="Times New Roman"/>
                <w:b/>
                <w:sz w:val="17"/>
              </w:rPr>
              <w:t>Reasoning Failure under Evidence</w:t>
            </w:r>
          </w:p>
        </w:tc>
        <w:tc>
          <w:tcPr>
            <w:tcW w:type="dxa" w:w="1872"/>
            <w:shd w:fill="F0F4F8"/>
            <w:tcMar>
              <w:top w:w="100" w:type="dxa"/>
              <w:bottom w:w="100" w:type="dxa"/>
              <w:left w:w="140" w:type="dxa"/>
              <w:right w:w="140" w:type="dxa"/>
            </w:tcMar>
            <w:vAlign w:val="center"/>
          </w:tcPr>
          <w:p>
            <w:pPr>
              <w:spacing w:before="40" w:after="40" w:line="252" w:lineRule="auto"/>
              <w:jc w:val="center"/>
            </w:pPr>
            <w:r>
              <w:rPr>
                <w:rFonts w:ascii="Times New Roman" w:hAnsi="Times New Roman"/>
                <w:b/>
                <w:sz w:val="17"/>
              </w:rPr>
              <w:t>19 / 60</w:t>
            </w:r>
          </w:p>
        </w:tc>
        <w:tc>
          <w:tcPr>
            <w:tcW w:type="dxa" w:w="1872"/>
            <w:shd w:fill="F0F4F8"/>
            <w:tcMar>
              <w:top w:w="100" w:type="dxa"/>
              <w:bottom w:w="100" w:type="dxa"/>
              <w:left w:w="140" w:type="dxa"/>
              <w:right w:w="140" w:type="dxa"/>
            </w:tcMar>
            <w:vAlign w:val="center"/>
          </w:tcPr>
          <w:p>
            <w:pPr>
              <w:spacing w:before="40" w:after="40" w:line="252" w:lineRule="auto"/>
              <w:jc w:val="right"/>
            </w:pPr>
            <w:r>
              <w:rPr>
                <w:rFonts w:ascii="Times New Roman" w:hAnsi="Times New Roman"/>
                <w:b/>
                <w:sz w:val="17"/>
              </w:rPr>
              <w:t>31.70%</w:t>
            </w:r>
          </w:p>
        </w:tc>
        <w:tc>
          <w:tcPr>
            <w:tcW w:type="dxa" w:w="1872"/>
            <w:shd w:fill="F0F4F8"/>
            <w:tcMar>
              <w:top w:w="100" w:type="dxa"/>
              <w:bottom w:w="100" w:type="dxa"/>
              <w:left w:w="140" w:type="dxa"/>
              <w:right w:w="140" w:type="dxa"/>
            </w:tcMar>
            <w:vAlign w:val="center"/>
          </w:tcPr>
          <w:p>
            <w:pPr>
              <w:spacing w:before="40" w:after="40" w:line="252" w:lineRule="auto"/>
              <w:jc w:val="center"/>
            </w:pPr>
            <w:r>
              <w:rPr>
                <w:rFonts w:ascii="Times New Roman" w:hAnsi="Times New Roman"/>
                <w:b/>
                <w:sz w:val="17"/>
              </w:rPr>
              <w:t>[21.2%, 44.2%]</w:t>
            </w:r>
          </w:p>
        </w:tc>
        <w:tc>
          <w:tcPr>
            <w:tcW w:type="dxa" w:w="1872"/>
            <w:shd w:fill="F0F4F8"/>
            <w:tcMar>
              <w:top w:w="100" w:type="dxa"/>
              <w:bottom w:w="100" w:type="dxa"/>
              <w:left w:w="140" w:type="dxa"/>
              <w:right w:w="140" w:type="dxa"/>
            </w:tcMar>
            <w:vAlign w:val="center"/>
          </w:tcPr>
          <w:p>
            <w:pPr>
              <w:spacing w:before="40" w:after="40" w:line="252" w:lineRule="auto"/>
              <w:jc w:val="both"/>
            </w:pPr>
            <w:r>
              <w:rPr>
                <w:rFonts w:ascii="Times New Roman" w:hAnsi="Times New Roman"/>
                <w:b/>
                <w:sz w:val="17"/>
              </w:rPr>
              <w:t>Partial or full gold evidence in prompt; 3B model fails logical constraint synthesis</w:t>
            </w:r>
          </w:p>
        </w:tc>
      </w:tr>
      <w:tr>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Retrieval Gap (Missing Fact 2)</w:t>
            </w:r>
          </w:p>
        </w:tc>
        <w:tc>
          <w:tcPr>
            <w:tcW w:type="dxa" w:w="1872"/>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13 / 60</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21.70%</w:t>
            </w:r>
          </w:p>
        </w:tc>
        <w:tc>
          <w:tcPr>
            <w:tcW w:type="dxa" w:w="1872"/>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[13.1%, 33.6%]</w:t>
            </w:r>
          </w:p>
        </w:tc>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Hop 1 retrieved Fact 1, but Hop 2 query failed to bridge to Fact 2</w:t>
            </w:r>
          </w:p>
        </w:tc>
      </w:tr>
      <w:tr>
        <w:tc>
          <w:tcPr>
            <w:tcW w:type="dxa" w:w="1872"/>
            <w:tcMar>
              <w:top w:w="100" w:type="dxa"/>
              <w:bottom w:w="100" w:type="dxa"/>
              <w:left w:w="140" w:type="dxa"/>
              <w:right w:w="140" w:type="dxa"/>
            </w:tcMar>
            <w:vAlign w:val="center"/>
          </w:tcPr>
          <w:p>
            <w:pPr>
              <w:spacing w:before="40" w:after="40" w:line="252" w:lineRule="auto"/>
              <w:jc w:val="left"/>
            </w:pPr>
            <w:r>
              <w:rPr>
                <w:rFonts w:ascii="Times New Roman" w:hAnsi="Times New Roman"/>
                <w:b w:val="0"/>
                <w:sz w:val="17"/>
              </w:rPr>
              <w:t>Span Extraction Error</w:t>
            </w:r>
          </w:p>
        </w:tc>
        <w:tc>
          <w:tcPr>
            <w:tcW w:type="dxa" w:w="1872"/>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6 / 60</w:t>
            </w:r>
          </w:p>
        </w:tc>
        <w:tc>
          <w:tcPr>
            <w:tcW w:type="dxa" w:w="1872"/>
            <w:tcMar>
              <w:top w:w="100" w:type="dxa"/>
              <w:bottom w:w="100" w:type="dxa"/>
              <w:left w:w="140" w:type="dxa"/>
              <w:right w:w="140" w:type="dxa"/>
            </w:tcMar>
            <w:vAlign w:val="center"/>
          </w:tcPr>
          <w:p>
            <w:pPr>
              <w:spacing w:before="40" w:after="40" w:line="252" w:lineRule="auto"/>
              <w:jc w:val="right"/>
            </w:pPr>
            <w:r>
              <w:rPr>
                <w:rFonts w:ascii="Times New Roman" w:hAnsi="Times New Roman"/>
                <w:b w:val="0"/>
                <w:sz w:val="17"/>
              </w:rPr>
              <w:t>10.00%</w:t>
            </w:r>
          </w:p>
        </w:tc>
        <w:tc>
          <w:tcPr>
            <w:tcW w:type="dxa" w:w="1872"/>
            <w:tcMar>
              <w:top w:w="100" w:type="dxa"/>
              <w:bottom w:w="100" w:type="dxa"/>
              <w:left w:w="140" w:type="dxa"/>
              <w:right w:w="140" w:type="dxa"/>
            </w:tcMar>
            <w:vAlign w:val="center"/>
          </w:tcPr>
          <w:p>
            <w:pPr>
              <w:spacing w:before="40" w:after="40" w:line="252" w:lineRule="auto"/>
              <w:jc w:val="center"/>
            </w:pPr>
            <w:r>
              <w:rPr>
                <w:rFonts w:ascii="Times New Roman" w:hAnsi="Times New Roman"/>
                <w:b w:val="0"/>
                <w:sz w:val="17"/>
              </w:rPr>
              <w:t>[4.7%, 20.1%]</w:t>
            </w:r>
          </w:p>
        </w:tc>
        <w:tc>
          <w:tcPr>
            <w:tcW w:type="dxa" w:w="1872"/>
            <w:tcMar>
              <w:top w:w="100" w:type="dxa"/>
              <w:bottom w:w="100" w:type="dxa"/>
              <w:left w:w="140" w:type="dxa"/>
              <w:right w:w="140" w:type="dxa"/>
            </w:tcMar>
            <w:vAlign w:val="center"/>
          </w:tcPr>
          <w:p>
            <w:pPr>
              <w:spacing w:before="40" w:after="40" w:line="252" w:lineRule="auto"/>
              <w:jc w:val="both"/>
            </w:pPr>
            <w:r>
              <w:rPr>
                <w:rFonts w:ascii="Times New Roman" w:hAnsi="Times New Roman"/>
                <w:b w:val="0"/>
                <w:sz w:val="17"/>
              </w:rPr>
              <w:t>Both facts retrieved; generator extracted adjacent distractor entity from paragraph</w:t>
            </w:r>
          </w:p>
        </w:tc>
      </w:tr>
    </w:tbl>
    <w:p>
      <w:pPr>
        <w:spacing w:before="40" w:after="160"/>
        <w:jc w:val="both"/>
      </w:pPr>
      <w:r>
        <w:rPr>
          <w:rFonts w:ascii="Times New Roman" w:hAnsi="Times New Roman"/>
          <w:i/>
          <w:color w:val="555555"/>
          <w:sz w:val="18"/>
        </w:rPr>
        <w:t>Note: Evaluated under single-annotator blind verification. Categories are mutually exclusive and sum to 100%.</w:t>
      </w:r>
    </w:p>
    <w:p>
      <w:pPr>
        <w:spacing w:before="0" w:after="120" w:line="276" w:lineRule="auto"/>
        <w:jc w:val="both"/>
      </w:pPr>
      <w:r>
        <w:rPr>
          <w:rFonts w:ascii="Times New Roman" w:hAnsi="Times New Roman"/>
          <w:sz w:val="22"/>
        </w:rPr>
        <w:t>The manual audit uncovers the real culprit behind low Exact Match scores. Over a third of all failures (36.70%, Wilson CI [25.5%, 49.3%]) are format artifacts: the generator produced the semantically correct entity, but was penalized by string mismatch (e.g., answering 'US' instead of 'United States', or omitting parenthetical qualifiers). When combined with Reasoning Failures (31.70%), where the 3B model failed multi-hop logical deduction despite having gold passages in its prompt, we find that 68.4% of all pipeline failures occur on the reader side. Actual retrieval failures (Missing Fact 2) account for only 21.70% of errors.</w:t>
      </w:r>
    </w:p>
    <w:p>
      <w:pPr>
        <w:keepNext/>
        <w:spacing w:before="280" w:after="80"/>
      </w:pPr>
      <w:r>
        <w:rPr>
          <w:rFonts w:ascii="Times New Roman" w:hAnsi="Times New Roman"/>
          <w:b/>
          <w:color w:val="003366"/>
          <w:sz w:val="28"/>
        </w:rPr>
        <w:t>5. Discussion</w:t>
      </w:r>
    </w:p>
    <w:p>
      <w:pPr>
        <w:spacing w:before="0" w:after="120" w:line="276" w:lineRule="auto"/>
        <w:jc w:val="both"/>
      </w:pPr>
      <w:r>
        <w:rPr>
          <w:rFonts w:ascii="Times New Roman" w:hAnsi="Times New Roman"/>
          <w:sz w:val="22"/>
        </w:rPr>
        <w:t>Synthesizing these ten empirical analyses yields a single, coherent narrative: retrieval coverage and downstream answer accuracy are fundamentally decoupled in multi-hop RAG systems. The common assumption that improving multi-hop retrieval recall will automatically translate into downstream QA accuracy is contradicted by our data.</w:t>
      </w:r>
    </w:p>
    <w:p>
      <w:pPr>
        <w:spacing w:before="0" w:after="120" w:line="276" w:lineRule="auto"/>
        <w:jc w:val="both"/>
      </w:pPr>
      <w:r>
        <w:rPr>
          <w:rFonts w:ascii="Times New Roman" w:hAnsi="Times New Roman"/>
          <w:sz w:val="22"/>
        </w:rPr>
        <w:t>Throughout our experiments, neural cross-encoder reranking consistently emerges as the dominant retrieval lever, contributing +15.40 pp in AllSF@5. Iterative second-hop retrieval, by contrast, contributes an incremental +2.80 pp AllSF gain that sits right on the edge of statistical significance (p_holm = 0.0480), and yields zero detectable improvement in downstream Exact Match (p_holm = 0.8511). As demonstrated in our 2×2 contingency analysis, the 32 questions rescued by Hop 2 are largely offset by 42 questions lost during truncation and 12 questions actively degraded by query noise.</w:t>
      </w:r>
    </w:p>
    <w:p>
      <w:pPr>
        <w:spacing w:before="0" w:after="120" w:line="276" w:lineRule="auto"/>
        <w:jc w:val="both"/>
      </w:pPr>
      <w:r>
        <w:rPr>
          <w:rFonts w:ascii="Times New Roman" w:hAnsi="Times New Roman"/>
          <w:sz w:val="22"/>
        </w:rPr>
        <w:t>Meanwhile, generator parameterization exerts an overwhelming influence. Scaling from a 3B to a 7B reader model on identical retrieved passages produces a +12.20 pp jump in Exact Match—four times the gain achieved by moving from single-pass dense search to full iterative multi-hop retrieval (+3.00 pp). Coupled with our error breakdown showing that 36.70% of failures are string-matching artifacts, we conclude that future research in multi-hop QA should focus on reader reasoning capabilities, context distillation, and metric normalization rather than engineering increasingly intricate retrieval loops.</w:t>
      </w:r>
    </w:p>
    <w:p>
      <w:pPr>
        <w:keepNext/>
        <w:spacing w:before="280" w:after="80"/>
      </w:pPr>
      <w:r>
        <w:rPr>
          <w:rFonts w:ascii="Times New Roman" w:hAnsi="Times New Roman"/>
          <w:b/>
          <w:color w:val="003366"/>
          <w:sz w:val="28"/>
        </w:rPr>
        <w:t>6. Limitations</w:t>
      </w:r>
    </w:p>
    <w:p>
      <w:pPr>
        <w:spacing w:before="0" w:after="120" w:line="276" w:lineRule="auto"/>
        <w:jc w:val="both"/>
      </w:pPr>
      <w:r>
        <w:rPr>
          <w:rFonts w:ascii="Times New Roman" w:hAnsi="Times New Roman"/>
          <w:sz w:val="22"/>
        </w:rPr>
        <w:t>We note several concrete methodological limitations of this study:</w:t>
        <w:br/>
        <w:t>1. Corpus Construction: Our evaluation index comprises 19,260 passages constructed by pooling gold and distractor paragraphs from the HotpotQA development set. While highly challenging due to dense distractor competition, this corpus is substantially smaller than full 5-million-page Wikipedia dumps, where retrieval dilution may follow different scaling dynamics.</w:t>
        <w:br/>
        <w:t>2. Sample Size and Split Stability: All evaluations were conducted on a single fixed subset of 500 questions (N=500). While sufficient to power paired testing, the 96 comparison questions represent a relatively small sample, meaning subtle subgroup differences may be underpowered.</w:t>
        <w:br/>
        <w:t>3. Generator Architecture: Experiments were restricted to the Qwen2.5 open-weights series (3B and 7B). While highly representative of modern dense instruct models, we cannot entirely rule out potential pre-training exposure to HotpotQA text.</w:t>
        <w:br/>
        <w:t>4. Single-Annotator Error Analysis: Our qualitative analysis of 60 failure cases was hand-verified by a single annotator; consequently, inter-annotator agreement (e.g., Cohen's kappa) could not be calculated.</w:t>
        <w:br/>
        <w:t>5. Metric Constraints: We adhered to standard HotpotQA Exact Match and token F1 metrics. Evaluating alias-aware or model-based semantic evaluation metrics was beyond the scope of this study.</w:t>
      </w:r>
    </w:p>
    <w:p>
      <w:pPr>
        <w:keepNext/>
        <w:spacing w:before="280" w:after="80"/>
      </w:pPr>
      <w:r>
        <w:rPr>
          <w:rFonts w:ascii="Times New Roman" w:hAnsi="Times New Roman"/>
          <w:b/>
          <w:color w:val="003366"/>
          <w:sz w:val="28"/>
        </w:rPr>
        <w:t>7. Conclusion</w:t>
      </w:r>
    </w:p>
    <w:p>
      <w:pPr>
        <w:spacing w:before="0" w:after="120" w:line="276" w:lineRule="auto"/>
        <w:jc w:val="both"/>
      </w:pPr>
      <w:r>
        <w:rPr>
          <w:rFonts w:ascii="Times New Roman" w:hAnsi="Times New Roman"/>
          <w:sz w:val="22"/>
        </w:rPr>
        <w:t>In this empirical diagnostic study, we investigated the stage-wise mechanisms governing multi-hop RAG systems on HotpotQA. Through thirteen controlled system evaluations, paired bootstrap resampling, Holm-corrected McNemar tests, and manual error audits, we showed that the performance bottleneck in multi-hop QA is not retrieval recall. Cross-encoder reranking accounts for virtually all meaningful retrieval improvements, while iterative second-hop query augmentation delivers modest, borderline gains that fail to reach downstream answer accuracy. Over 78% of the downstream performance deficit originates on the generator and metric side, where reader parameter scaling provides four times the benefit of retrieval pipeline optimization. For practitioners and researchers, these results suggest that efforts to improve multi-hop QA are better spent strengthening reader reasoning and resolving surface-form metric fragility than constructing ever-more elaborate iterative retrieval pipelines.</w:t>
      </w:r>
    </w:p>
    <w:p>
      <w:pPr>
        <w:keepNext/>
        <w:spacing w:before="280" w:after="80"/>
      </w:pPr>
      <w:r>
        <w:rPr>
          <w:rFonts w:ascii="Times New Roman" w:hAnsi="Times New Roman"/>
          <w:b/>
          <w:color w:val="003366"/>
          <w:sz w:val="28"/>
        </w:rPr>
        <w:t>8. References</w:t>
      </w:r>
    </w:p>
    <w:p>
      <w:pPr>
        <w:spacing w:before="40" w:after="80" w:line="252" w:lineRule="auto"/>
        <w:ind w:left="720" w:hanging="720"/>
      </w:pPr>
      <w:r>
        <w:rPr>
          <w:rFonts w:ascii="Times New Roman" w:hAnsi="Times New Roman"/>
          <w:sz w:val="19"/>
        </w:rPr>
        <w:t>Cormack, G. V., Clarke, C. L., &amp; Buettcher, S. (2009). Reciprocal rank fusion outperforms indri and lucene for combined search. In Proceedings of the 32nd International ACM SIGIR Conference on Research and Development in Information Retrieval (pp. 758–759).</w:t>
      </w:r>
    </w:p>
    <w:p>
      <w:pPr>
        <w:spacing w:before="40" w:after="80" w:line="252" w:lineRule="auto"/>
        <w:ind w:left="720" w:hanging="720"/>
      </w:pPr>
      <w:r>
        <w:rPr>
          <w:rFonts w:ascii="Times New Roman" w:hAnsi="Times New Roman"/>
          <w:sz w:val="19"/>
        </w:rPr>
        <w:t>Efron, B., &amp; Tibshirani, R. J. (1993). An Introduction to the Bootstrap. Chapman &amp; Hall/CRC.</w:t>
      </w:r>
    </w:p>
    <w:p>
      <w:pPr>
        <w:spacing w:before="40" w:after="80" w:line="252" w:lineRule="auto"/>
        <w:ind w:left="720" w:hanging="720"/>
      </w:pPr>
      <w:r>
        <w:rPr>
          <w:rFonts w:ascii="Times New Roman" w:hAnsi="Times New Roman"/>
          <w:sz w:val="19"/>
        </w:rPr>
        <w:t>Holm, S. (1979). A simple sequentially rejective multiple test procedure. Scandinavian Journal of Statistics, 6(2), 65–70.</w:t>
      </w:r>
    </w:p>
    <w:p>
      <w:pPr>
        <w:spacing w:before="40" w:after="80" w:line="252" w:lineRule="auto"/>
        <w:ind w:left="720" w:hanging="720"/>
      </w:pPr>
      <w:r>
        <w:rPr>
          <w:rFonts w:ascii="Times New Roman" w:hAnsi="Times New Roman"/>
          <w:sz w:val="19"/>
        </w:rPr>
        <w:t>Karpukhin, V., Oguz, B., Min, S., Lewis, P., Wu, L., Edunov, S., Chen, D., &amp; Yih, W.-t. (2020). Dense passage retrieval for open-domain question answering. In Proceedings of the 2020 Conference on Empirical Methods in Natural Language Processing (EMNLP) (pp. 6769–6781).</w:t>
      </w:r>
    </w:p>
    <w:p>
      <w:pPr>
        <w:spacing w:before="40" w:after="80" w:line="252" w:lineRule="auto"/>
        <w:ind w:left="720" w:hanging="720"/>
      </w:pPr>
      <w:r>
        <w:rPr>
          <w:rFonts w:ascii="Times New Roman" w:hAnsi="Times New Roman"/>
          <w:sz w:val="19"/>
        </w:rPr>
        <w:t>Khattab, O., Santhanam, K., Li, X. L., Hall, D., &amp; Liang, P. (2021). Demonstrate-search-predict: Composing retrieval and language models for knowledge-intensive NLP. arXiv preprint arXiv:2212.14024.</w:t>
      </w:r>
    </w:p>
    <w:p>
      <w:pPr>
        <w:spacing w:before="40" w:after="80" w:line="252" w:lineRule="auto"/>
        <w:ind w:left="720" w:hanging="720"/>
      </w:pPr>
      <w:r>
        <w:rPr>
          <w:rFonts w:ascii="Times New Roman" w:hAnsi="Times New Roman"/>
          <w:sz w:val="19"/>
        </w:rPr>
        <w:t>McNemar, Q. (1947). Note on the sampling error of the difference between correlated proportions or percentages. Psychometrika, 12(2), 153–157.</w:t>
      </w:r>
    </w:p>
    <w:p>
      <w:pPr>
        <w:spacing w:before="40" w:after="80" w:line="252" w:lineRule="auto"/>
        <w:ind w:left="720" w:hanging="720"/>
      </w:pPr>
      <w:r>
        <w:rPr>
          <w:rFonts w:ascii="Times New Roman" w:hAnsi="Times New Roman"/>
          <w:sz w:val="19"/>
        </w:rPr>
        <w:t>Nogueira, R., &amp; Cho, K. (2019). Passage re-ranking with BERT. arXiv preprint arXiv:1901.04085.</w:t>
      </w:r>
    </w:p>
    <w:p>
      <w:pPr>
        <w:spacing w:before="40" w:after="80" w:line="252" w:lineRule="auto"/>
        <w:ind w:left="720" w:hanging="720"/>
      </w:pPr>
      <w:r>
        <w:rPr>
          <w:rFonts w:ascii="Times New Roman" w:hAnsi="Times New Roman"/>
          <w:sz w:val="19"/>
        </w:rPr>
        <w:t>Qwen Team. (2024). Qwen2.5: A party of foundation and instruction-tuned large language models. arXiv preprint arXiv:2412.15115.</w:t>
      </w:r>
    </w:p>
    <w:p>
      <w:pPr>
        <w:spacing w:before="40" w:after="80" w:line="252" w:lineRule="auto"/>
        <w:ind w:left="720" w:hanging="720"/>
      </w:pPr>
      <w:r>
        <w:rPr>
          <w:rFonts w:ascii="Times New Roman" w:hAnsi="Times New Roman"/>
          <w:sz w:val="19"/>
        </w:rPr>
        <w:t>Robertson, S., &amp; Zaragoza, H. (2009). The probabilistic relevance framework: BM25 and beyond. Foundations and Trends in Information Retrieval, 3(4), 333–389.</w:t>
      </w:r>
    </w:p>
    <w:p>
      <w:pPr>
        <w:spacing w:before="40" w:after="80" w:line="252" w:lineRule="auto"/>
        <w:ind w:left="720" w:hanging="720"/>
      </w:pPr>
      <w:r>
        <w:rPr>
          <w:rFonts w:ascii="Times New Roman" w:hAnsi="Times New Roman"/>
          <w:sz w:val="19"/>
        </w:rPr>
        <w:t>Trivedi, H., Balasubramanian, N., Khot, T., &amp; Sabharwal, A. (2022). Interleaving retrieval with chain-of-thought reasoning for knowledge-intensive multi-step questions. In Proceedings of the 61st Annual Meeting of the Association for Computational Linguistics (ACL 2023) (pp. 10014–10037).</w:t>
      </w:r>
    </w:p>
    <w:p>
      <w:pPr>
        <w:spacing w:before="40" w:after="80" w:line="252" w:lineRule="auto"/>
        <w:ind w:left="720" w:hanging="720"/>
      </w:pPr>
      <w:r>
        <w:rPr>
          <w:rFonts w:ascii="Times New Roman" w:hAnsi="Times New Roman"/>
          <w:sz w:val="19"/>
        </w:rPr>
        <w:t>Xiao, S., Liu, Z., Zhang, P., &amp; Muennighoff, N. (2023). C-pack: Packaged resources to advance general Chinese embedding (BAAI BGE models). arXiv preprint arXiv:2309.07597.</w:t>
      </w:r>
    </w:p>
    <w:p>
      <w:pPr>
        <w:spacing w:before="40" w:after="80" w:line="252" w:lineRule="auto"/>
        <w:ind w:left="720" w:hanging="720"/>
      </w:pPr>
      <w:r>
        <w:rPr>
          <w:rFonts w:ascii="Times New Roman" w:hAnsi="Times New Roman"/>
          <w:sz w:val="19"/>
        </w:rPr>
        <w:t>Yang, Z., Qi, P., Zhang, S., Bengio, Y., Cohen, W. W., Salakhutdinov, R., &amp; Manning, C. D. (2018). HotpotQA: A dataset for diverse, explainable multi-hop question answering. In Proceedings of the 2018 Conference on Empirical Methods in Natural Language Processing (EMNLP) (pp. 2369–2380).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