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5" w:type="dxa"/>
        <w:tblBorders>
          <w:left w:val="single" w:sz="36" w:space="0" w:color="B37B0E" w:themeColor="accent4" w:themeShade="BF"/>
        </w:tblBorders>
        <w:tblLayout w:type="fixed"/>
        <w:tblCellMar>
          <w:left w:w="144" w:type="dxa"/>
        </w:tblCellMar>
        <w:tblLook w:val="0600" w:firstRow="0" w:lastRow="0" w:firstColumn="0" w:lastColumn="0" w:noHBand="1" w:noVBand="1"/>
      </w:tblPr>
      <w:tblGrid>
        <w:gridCol w:w="9450"/>
      </w:tblGrid>
      <w:tr w:rsidR="00C026B2" w14:paraId="5803D2B9" w14:textId="77777777" w:rsidTr="00A21B9F">
        <w:trPr>
          <w:trHeight w:val="1260"/>
        </w:trPr>
        <w:tc>
          <w:tcPr>
            <w:tcW w:w="9450" w:type="dxa"/>
            <w:tcBorders>
              <w:left w:val="single" w:sz="36" w:space="0" w:color="053D58" w:themeColor="accent1"/>
            </w:tcBorders>
          </w:tcPr>
          <w:p w14:paraId="268623D0" w14:textId="77777777" w:rsidR="00C026B2" w:rsidRDefault="00A34B02" w:rsidP="00C026B2">
            <w:pPr>
              <w:pStyle w:val="Title"/>
              <w:rPr>
                <w:b/>
                <w:bCs/>
                <w:color w:val="1F4E5C"/>
                <w:sz w:val="40"/>
                <w:szCs w:val="40"/>
              </w:rPr>
            </w:pPr>
            <w:r>
              <w:rPr>
                <w:b/>
                <w:bCs/>
                <w:color w:val="1F4E5C"/>
                <w:sz w:val="40"/>
                <w:szCs w:val="40"/>
              </w:rPr>
              <w:t>Global Earthquake Analysis</w:t>
            </w:r>
          </w:p>
          <w:p w14:paraId="3BB2DE38" w14:textId="6968F372" w:rsidR="00002BA0" w:rsidRPr="00002BA0" w:rsidRDefault="00002BA0" w:rsidP="00002BA0">
            <w:r>
              <w:t>Project Documentation</w:t>
            </w:r>
          </w:p>
        </w:tc>
      </w:tr>
      <w:tr w:rsidR="00C026B2" w14:paraId="1C540841" w14:textId="77777777" w:rsidTr="00A21B9F">
        <w:trPr>
          <w:trHeight w:val="270"/>
        </w:trPr>
        <w:tc>
          <w:tcPr>
            <w:tcW w:w="9450" w:type="dxa"/>
            <w:tcBorders>
              <w:left w:val="single" w:sz="36" w:space="0" w:color="053D58" w:themeColor="accent1"/>
            </w:tcBorders>
          </w:tcPr>
          <w:p w14:paraId="25B7EEE2" w14:textId="463F60F5" w:rsidR="00C026B2" w:rsidRDefault="00002BA0" w:rsidP="00A21B9F">
            <w:pPr>
              <w:pStyle w:val="Subtitle"/>
            </w:pPr>
            <w:r>
              <w:t>Sep</w:t>
            </w:r>
            <w:r w:rsidR="00C026B2">
              <w:t xml:space="preserve"> </w:t>
            </w:r>
            <w:r>
              <w:t>1</w:t>
            </w:r>
            <w:r w:rsidR="00C026B2">
              <w:t>4, 20</w:t>
            </w:r>
            <w:r>
              <w:t>26</w:t>
            </w:r>
            <w:r w:rsidR="00C026B2">
              <w:t xml:space="preserve"> </w:t>
            </w:r>
          </w:p>
        </w:tc>
      </w:tr>
    </w:tbl>
    <w:p w14:paraId="5ECD6946" w14:textId="77777777" w:rsidR="00C026B2" w:rsidRDefault="00C026B2" w:rsidP="00C026B2">
      <w:pPr>
        <w:pStyle w:val="TipText"/>
      </w:pPr>
    </w:p>
    <w:p w14:paraId="094C7D19" w14:textId="77777777" w:rsidR="003312ED" w:rsidRDefault="00C026B2" w:rsidP="00F26541">
      <w:pPr>
        <w:pStyle w:val="Heading1"/>
        <w:spacing w:before="360"/>
      </w:pPr>
      <w:r w:rsidRPr="00F26541">
        <w:t>Overview</w:t>
      </w:r>
    </w:p>
    <w:p w14:paraId="09FBCDA5" w14:textId="287ABDCD" w:rsidR="00002BA0" w:rsidRPr="00002BA0" w:rsidRDefault="00002BA0" w:rsidP="00002BA0">
      <w:pPr>
        <w:pStyle w:val="Heading2"/>
      </w:pPr>
      <w:r>
        <w:t>Domain Introduction</w:t>
      </w:r>
    </w:p>
    <w:tbl>
      <w:tblPr>
        <w:tblStyle w:val="TipTable"/>
        <w:tblW w:w="5000" w:type="pct"/>
        <w:tblLook w:val="04A0" w:firstRow="1" w:lastRow="0" w:firstColumn="1" w:lastColumn="0" w:noHBand="0" w:noVBand="1"/>
        <w:tblDescription w:val="Layout table"/>
      </w:tblPr>
      <w:tblGrid>
        <w:gridCol w:w="359"/>
        <w:gridCol w:w="9001"/>
      </w:tblGrid>
      <w:tr w:rsidR="005D4DC9" w14:paraId="69CEC716"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68229CD8" w14:textId="77777777" w:rsidR="005D4DC9" w:rsidRDefault="005D4DC9" w:rsidP="00F16B15">
            <w:pPr>
              <w:jc w:val="left"/>
            </w:pPr>
          </w:p>
        </w:tc>
        <w:tc>
          <w:tcPr>
            <w:tcW w:w="4808" w:type="pct"/>
            <w:shd w:val="clear" w:color="auto" w:fill="auto"/>
          </w:tcPr>
          <w:p w14:paraId="12E8032E" w14:textId="2D6F5D52" w:rsidR="005D4DC9" w:rsidRPr="00F95167" w:rsidRDefault="00002BA0" w:rsidP="00F95167">
            <w:pPr>
              <w:pStyle w:val="TipText"/>
              <w:cnfStyle w:val="000000000000" w:firstRow="0" w:lastRow="0" w:firstColumn="0" w:lastColumn="0" w:oddVBand="0" w:evenVBand="0" w:oddHBand="0" w:evenHBand="0" w:firstRowFirstColumn="0" w:firstRowLastColumn="0" w:lastRowFirstColumn="0" w:lastRowLastColumn="0"/>
            </w:pPr>
            <w:r w:rsidRPr="00347B82">
              <w:rPr>
                <w:sz w:val="20"/>
                <w:szCs w:val="20"/>
              </w:rPr>
              <w:t>Seismology is the study of earthquakes and the way seismic waves move through and around the Earth. Earthquakes are caused by the sudden release of energy along tectonic plate boundaries, and their frequency, magnitude, and depth vary widely by region. Monitoring agencies such as the USGS track thousands of seismic events every year to support disaster preparedness, infrastructure planning, and early-warning systems.</w:t>
            </w:r>
          </w:p>
        </w:tc>
      </w:tr>
    </w:tbl>
    <w:p w14:paraId="3CB88CDB" w14:textId="77777777" w:rsidR="003312ED" w:rsidRPr="009923A8" w:rsidRDefault="003312ED" w:rsidP="009923A8">
      <w:pPr>
        <w:pStyle w:val="TipText"/>
      </w:pPr>
    </w:p>
    <w:p w14:paraId="0F007CB0" w14:textId="3E81291E" w:rsidR="003312ED" w:rsidRDefault="00C026B2">
      <w:pPr>
        <w:pStyle w:val="Heading2"/>
      </w:pPr>
      <w:r w:rsidRPr="00C026B2">
        <w:t xml:space="preserve">Project </w:t>
      </w:r>
      <w:r w:rsidR="00002BA0">
        <w:t>Introduction</w:t>
      </w:r>
      <w:r w:rsidR="00D42A38">
        <w:t xml:space="preserve"> </w:t>
      </w:r>
    </w:p>
    <w:tbl>
      <w:tblPr>
        <w:tblStyle w:val="TipTable"/>
        <w:tblW w:w="5000" w:type="pct"/>
        <w:tblLook w:val="04A0" w:firstRow="1" w:lastRow="0" w:firstColumn="1" w:lastColumn="0" w:noHBand="0" w:noVBand="1"/>
        <w:tblDescription w:val="Layout table"/>
      </w:tblPr>
      <w:tblGrid>
        <w:gridCol w:w="359"/>
        <w:gridCol w:w="9001"/>
      </w:tblGrid>
      <w:tr w:rsidR="005D4DC9" w14:paraId="1468C39A"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20BC1839" w14:textId="77777777" w:rsidR="005D4DC9" w:rsidRDefault="005D4DC9" w:rsidP="00F16B15">
            <w:pPr>
              <w:jc w:val="left"/>
            </w:pPr>
          </w:p>
        </w:tc>
        <w:tc>
          <w:tcPr>
            <w:tcW w:w="4808" w:type="pct"/>
            <w:shd w:val="clear" w:color="auto" w:fill="auto"/>
          </w:tcPr>
          <w:p w14:paraId="6AFA0398" w14:textId="1BCBC14F" w:rsidR="005D4DC9" w:rsidRPr="00347B82" w:rsidRDefault="00002BA0" w:rsidP="008D5E06">
            <w:pPr>
              <w:pStyle w:val="TipText"/>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 xml:space="preserve">This project builds an end-to-end pipeline that pulls five years of global earthquake records from the USGS Earthquake API, cleans and enriches the data, and loads it into a MySQL database. A set of SQL-driven analyses and an interactive </w:t>
            </w:r>
            <w:proofErr w:type="spellStart"/>
            <w:r w:rsidRPr="00347B82">
              <w:rPr>
                <w:sz w:val="20"/>
                <w:szCs w:val="20"/>
              </w:rPr>
              <w:t>Streamlit</w:t>
            </w:r>
            <w:proofErr w:type="spellEnd"/>
            <w:r w:rsidRPr="00347B82">
              <w:rPr>
                <w:sz w:val="20"/>
                <w:szCs w:val="20"/>
              </w:rPr>
              <w:t xml:space="preserve"> dashboard for presenting the data analysis</w:t>
            </w:r>
          </w:p>
        </w:tc>
      </w:tr>
    </w:tbl>
    <w:p w14:paraId="12249548" w14:textId="77777777" w:rsidR="003312ED" w:rsidRPr="009923A8" w:rsidRDefault="003312ED" w:rsidP="009923A8">
      <w:pPr>
        <w:pStyle w:val="TipText"/>
      </w:pPr>
    </w:p>
    <w:p w14:paraId="207FB6B0" w14:textId="27D1B0D3" w:rsidR="003312ED" w:rsidRDefault="00002BA0">
      <w:pPr>
        <w:pStyle w:val="Heading2"/>
      </w:pPr>
      <w:r>
        <w:t>Objective</w:t>
      </w:r>
    </w:p>
    <w:tbl>
      <w:tblPr>
        <w:tblStyle w:val="TipTable"/>
        <w:tblW w:w="4941" w:type="pct"/>
        <w:tblLook w:val="04A0" w:firstRow="1" w:lastRow="0" w:firstColumn="1" w:lastColumn="0" w:noHBand="0" w:noVBand="1"/>
        <w:tblDescription w:val="Layout table"/>
      </w:tblPr>
      <w:tblGrid>
        <w:gridCol w:w="353"/>
        <w:gridCol w:w="8897"/>
      </w:tblGrid>
      <w:tr w:rsidR="00C026B2" w14:paraId="605C17A5" w14:textId="77777777" w:rsidTr="00002BA0">
        <w:trPr>
          <w:trHeight w:val="796"/>
        </w:trPr>
        <w:tc>
          <w:tcPr>
            <w:cnfStyle w:val="001000000000" w:firstRow="0" w:lastRow="0" w:firstColumn="1" w:lastColumn="0" w:oddVBand="0" w:evenVBand="0" w:oddHBand="0" w:evenHBand="0" w:firstRowFirstColumn="0" w:firstRowLastColumn="0" w:lastRowFirstColumn="0" w:lastRowLastColumn="0"/>
            <w:tcW w:w="191" w:type="pct"/>
            <w:shd w:val="clear" w:color="auto" w:fill="auto"/>
          </w:tcPr>
          <w:p w14:paraId="5E903502" w14:textId="77777777" w:rsidR="00C026B2" w:rsidRDefault="00C026B2" w:rsidP="00F16B15">
            <w:pPr>
              <w:jc w:val="left"/>
            </w:pPr>
          </w:p>
        </w:tc>
        <w:tc>
          <w:tcPr>
            <w:tcW w:w="4809" w:type="pct"/>
            <w:shd w:val="clear" w:color="auto" w:fill="auto"/>
          </w:tcPr>
          <w:p w14:paraId="6856ADF2" w14:textId="7DEE9077" w:rsidR="00C026B2" w:rsidRPr="00F16B15" w:rsidRDefault="00002BA0" w:rsidP="00002BA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347B82">
              <w:rPr>
                <w:i w:val="0"/>
                <w:iCs/>
                <w:sz w:val="20"/>
                <w:szCs w:val="20"/>
              </w:rPr>
              <w:t>The objective is to identify patterns in earthquake frequency, magnitude, depth, and geography over the past five years, and to present these insights through a reusable, query-driven dashboard that supports data-informed risk assessment.</w:t>
            </w:r>
          </w:p>
        </w:tc>
      </w:tr>
    </w:tbl>
    <w:p w14:paraId="48040303" w14:textId="77777777" w:rsidR="003312ED" w:rsidRPr="009923A8" w:rsidRDefault="003312ED" w:rsidP="009923A8">
      <w:pPr>
        <w:pStyle w:val="TipText"/>
      </w:pPr>
    </w:p>
    <w:p w14:paraId="5CF45D69" w14:textId="1F4A7E87" w:rsidR="003312ED" w:rsidRDefault="00002BA0">
      <w:pPr>
        <w:pStyle w:val="Heading2"/>
      </w:pPr>
      <w:r w:rsidRPr="00002BA0">
        <w:t>ELT Approach</w:t>
      </w:r>
    </w:p>
    <w:tbl>
      <w:tblPr>
        <w:tblStyle w:val="TipTable"/>
        <w:tblW w:w="5000" w:type="pct"/>
        <w:tblLook w:val="04A0" w:firstRow="1" w:lastRow="0" w:firstColumn="1" w:lastColumn="0" w:noHBand="0" w:noVBand="1"/>
        <w:tblDescription w:val="Layout table"/>
      </w:tblPr>
      <w:tblGrid>
        <w:gridCol w:w="359"/>
        <w:gridCol w:w="9001"/>
      </w:tblGrid>
      <w:tr w:rsidR="005D4DC9" w14:paraId="7B3FDD9B"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25B05E63" w14:textId="77777777" w:rsidR="005D4DC9" w:rsidRDefault="005D4DC9" w:rsidP="00F16B15">
            <w:pPr>
              <w:jc w:val="left"/>
            </w:pPr>
          </w:p>
        </w:tc>
        <w:tc>
          <w:tcPr>
            <w:tcW w:w="4808" w:type="pct"/>
            <w:shd w:val="clear" w:color="auto" w:fill="auto"/>
          </w:tcPr>
          <w:p w14:paraId="138412AB" w14:textId="77777777" w:rsidR="00002BA0" w:rsidRPr="00347B82" w:rsidRDefault="00002BA0" w:rsidP="00002BA0">
            <w:pPr>
              <w:pStyle w:val="TipText"/>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The pipeline follows an Extract → Load → Transform (ELT)-leaning workflow, with transformation split between Python (pre-load cleaning) and SQL (post-load analysis):</w:t>
            </w:r>
          </w:p>
          <w:p w14:paraId="4CCCD308" w14:textId="77777777" w:rsidR="00002BA0" w:rsidRPr="00347B82" w:rsidRDefault="00002BA0" w:rsidP="00002BA0">
            <w:pPr>
              <w:pStyle w:val="TipText"/>
              <w:ind w:left="633" w:hanging="284"/>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w:t>
            </w:r>
            <w:r w:rsidRPr="00347B82">
              <w:rPr>
                <w:sz w:val="20"/>
                <w:szCs w:val="20"/>
              </w:rPr>
              <w:tab/>
              <w:t xml:space="preserve">Extract: A loop over each month from 2021 to 2026 calls the USGS FDSN Event API (minimum magnitude 3) and collects </w:t>
            </w:r>
            <w:proofErr w:type="spellStart"/>
            <w:r w:rsidRPr="00347B82">
              <w:rPr>
                <w:sz w:val="20"/>
                <w:szCs w:val="20"/>
              </w:rPr>
              <w:t>GeoJSON</w:t>
            </w:r>
            <w:proofErr w:type="spellEnd"/>
            <w:r w:rsidRPr="00347B82">
              <w:rPr>
                <w:sz w:val="20"/>
                <w:szCs w:val="20"/>
              </w:rPr>
              <w:t xml:space="preserve"> features into a </w:t>
            </w:r>
            <w:proofErr w:type="gramStart"/>
            <w:r w:rsidRPr="00347B82">
              <w:rPr>
                <w:sz w:val="20"/>
                <w:szCs w:val="20"/>
              </w:rPr>
              <w:t xml:space="preserve">single pandas </w:t>
            </w:r>
            <w:proofErr w:type="spellStart"/>
            <w:r w:rsidRPr="00347B82">
              <w:rPr>
                <w:sz w:val="20"/>
                <w:szCs w:val="20"/>
              </w:rPr>
              <w:t>DataFrame</w:t>
            </w:r>
            <w:proofErr w:type="spellEnd"/>
            <w:proofErr w:type="gramEnd"/>
            <w:r w:rsidRPr="00347B82">
              <w:rPr>
                <w:sz w:val="20"/>
                <w:szCs w:val="20"/>
              </w:rPr>
              <w:t>.</w:t>
            </w:r>
          </w:p>
          <w:p w14:paraId="68C8BA7D" w14:textId="77777777" w:rsidR="00002BA0" w:rsidRPr="00347B82" w:rsidRDefault="00002BA0" w:rsidP="00002BA0">
            <w:pPr>
              <w:pStyle w:val="TipText"/>
              <w:ind w:left="633" w:hanging="284"/>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w:t>
            </w:r>
            <w:r w:rsidRPr="00347B82">
              <w:rPr>
                <w:sz w:val="20"/>
                <w:szCs w:val="20"/>
              </w:rPr>
              <w:tab/>
              <w:t>Transform (pre-load): Text fields (</w:t>
            </w:r>
            <w:proofErr w:type="spellStart"/>
            <w:r w:rsidRPr="00347B82">
              <w:rPr>
                <w:sz w:val="20"/>
                <w:szCs w:val="20"/>
              </w:rPr>
              <w:t>magType</w:t>
            </w:r>
            <w:proofErr w:type="spellEnd"/>
            <w:r w:rsidRPr="00347B82">
              <w:rPr>
                <w:sz w:val="20"/>
                <w:szCs w:val="20"/>
              </w:rPr>
              <w:t xml:space="preserve">, status, type, net, sources, types) are standardized to lowercase/trimmed strings; the country name is parsed out of the “place” field with a regex; numeric fields (mag, </w:t>
            </w:r>
            <w:proofErr w:type="spellStart"/>
            <w:r w:rsidRPr="00347B82">
              <w:rPr>
                <w:sz w:val="20"/>
                <w:szCs w:val="20"/>
              </w:rPr>
              <w:t>depth_km</w:t>
            </w:r>
            <w:proofErr w:type="spellEnd"/>
            <w:r w:rsidRPr="00347B82">
              <w:rPr>
                <w:sz w:val="20"/>
                <w:szCs w:val="20"/>
              </w:rPr>
              <w:t xml:space="preserve">, </w:t>
            </w:r>
            <w:proofErr w:type="spellStart"/>
            <w:r w:rsidRPr="00347B82">
              <w:rPr>
                <w:sz w:val="20"/>
                <w:szCs w:val="20"/>
              </w:rPr>
              <w:t>nst</w:t>
            </w:r>
            <w:proofErr w:type="spellEnd"/>
            <w:r w:rsidRPr="00347B82">
              <w:rPr>
                <w:sz w:val="20"/>
                <w:szCs w:val="20"/>
              </w:rPr>
              <w:t xml:space="preserve">, </w:t>
            </w:r>
            <w:proofErr w:type="spellStart"/>
            <w:r w:rsidRPr="00347B82">
              <w:rPr>
                <w:sz w:val="20"/>
                <w:szCs w:val="20"/>
              </w:rPr>
              <w:t>dmin</w:t>
            </w:r>
            <w:proofErr w:type="spellEnd"/>
            <w:r w:rsidRPr="00347B82">
              <w:rPr>
                <w:sz w:val="20"/>
                <w:szCs w:val="20"/>
              </w:rPr>
              <w:t>, rms, gap, etc.) are coerced to numeric and missing values are imputed with the median (or zero for error-margin fields).</w:t>
            </w:r>
          </w:p>
          <w:p w14:paraId="77A72C6B" w14:textId="77777777" w:rsidR="00002BA0" w:rsidRPr="00347B82" w:rsidRDefault="00002BA0" w:rsidP="00002BA0">
            <w:pPr>
              <w:pStyle w:val="TipText"/>
              <w:ind w:left="633" w:hanging="284"/>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w:t>
            </w:r>
            <w:r w:rsidRPr="00347B82">
              <w:rPr>
                <w:sz w:val="20"/>
                <w:szCs w:val="20"/>
              </w:rPr>
              <w:tab/>
              <w:t xml:space="preserve">Feature derivation: year, month, day and </w:t>
            </w:r>
            <w:proofErr w:type="spellStart"/>
            <w:r w:rsidRPr="00347B82">
              <w:rPr>
                <w:sz w:val="20"/>
                <w:szCs w:val="20"/>
              </w:rPr>
              <w:t>day_of_week</w:t>
            </w:r>
            <w:proofErr w:type="spellEnd"/>
            <w:r w:rsidRPr="00347B82">
              <w:rPr>
                <w:sz w:val="20"/>
                <w:szCs w:val="20"/>
              </w:rPr>
              <w:t xml:space="preserve"> are derived from the event timestamp; a Shallow flag (&lt; 50 km) and a </w:t>
            </w:r>
            <w:proofErr w:type="spellStart"/>
            <w:r w:rsidRPr="00347B82">
              <w:rPr>
                <w:sz w:val="20"/>
                <w:szCs w:val="20"/>
              </w:rPr>
              <w:t>magnitude_category</w:t>
            </w:r>
            <w:proofErr w:type="spellEnd"/>
            <w:r w:rsidRPr="00347B82">
              <w:rPr>
                <w:sz w:val="20"/>
                <w:szCs w:val="20"/>
              </w:rPr>
              <w:t xml:space="preserve"> (normal / strong / destructive) are engineered.</w:t>
            </w:r>
          </w:p>
          <w:p w14:paraId="635FEAFF" w14:textId="77777777" w:rsidR="00002BA0" w:rsidRPr="00347B82" w:rsidRDefault="00002BA0" w:rsidP="00002BA0">
            <w:pPr>
              <w:pStyle w:val="TipText"/>
              <w:ind w:left="633" w:hanging="284"/>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lastRenderedPageBreak/>
              <w:t>•</w:t>
            </w:r>
            <w:r w:rsidRPr="00347B82">
              <w:rPr>
                <w:sz w:val="20"/>
                <w:szCs w:val="20"/>
              </w:rPr>
              <w:tab/>
              <w:t xml:space="preserve">Load: The cleaned </w:t>
            </w:r>
            <w:proofErr w:type="spellStart"/>
            <w:r w:rsidRPr="00347B82">
              <w:rPr>
                <w:sz w:val="20"/>
                <w:szCs w:val="20"/>
              </w:rPr>
              <w:t>DataFrame</w:t>
            </w:r>
            <w:proofErr w:type="spellEnd"/>
            <w:r w:rsidRPr="00347B82">
              <w:rPr>
                <w:sz w:val="20"/>
                <w:szCs w:val="20"/>
              </w:rPr>
              <w:t xml:space="preserve"> (119,347 rows × 36 columns) is bulk-inserted into a MySQL table, </w:t>
            </w:r>
            <w:proofErr w:type="spellStart"/>
            <w:r w:rsidRPr="00347B82">
              <w:rPr>
                <w:sz w:val="20"/>
                <w:szCs w:val="20"/>
              </w:rPr>
              <w:t>earthquake_data</w:t>
            </w:r>
            <w:proofErr w:type="spellEnd"/>
            <w:r w:rsidRPr="00347B82">
              <w:rPr>
                <w:sz w:val="20"/>
                <w:szCs w:val="20"/>
              </w:rPr>
              <w:t xml:space="preserve">, using </w:t>
            </w:r>
            <w:proofErr w:type="spellStart"/>
            <w:r w:rsidRPr="00347B82">
              <w:rPr>
                <w:sz w:val="20"/>
                <w:szCs w:val="20"/>
              </w:rPr>
              <w:t>mysql</w:t>
            </w:r>
            <w:proofErr w:type="spellEnd"/>
            <w:r w:rsidRPr="00347B82">
              <w:rPr>
                <w:sz w:val="20"/>
                <w:szCs w:val="20"/>
              </w:rPr>
              <w:t xml:space="preserve">-connector-python's </w:t>
            </w:r>
            <w:proofErr w:type="spellStart"/>
            <w:r w:rsidRPr="00347B82">
              <w:rPr>
                <w:sz w:val="20"/>
                <w:szCs w:val="20"/>
              </w:rPr>
              <w:t>executemany</w:t>
            </w:r>
            <w:proofErr w:type="spellEnd"/>
            <w:r w:rsidRPr="00347B82">
              <w:rPr>
                <w:sz w:val="20"/>
                <w:szCs w:val="20"/>
              </w:rPr>
              <w:t xml:space="preserve">, with </w:t>
            </w:r>
            <w:proofErr w:type="spellStart"/>
            <w:r w:rsidRPr="00347B82">
              <w:rPr>
                <w:sz w:val="20"/>
                <w:szCs w:val="20"/>
              </w:rPr>
              <w:t>NaN</w:t>
            </w:r>
            <w:proofErr w:type="spellEnd"/>
            <w:r w:rsidRPr="00347B82">
              <w:rPr>
                <w:sz w:val="20"/>
                <w:szCs w:val="20"/>
              </w:rPr>
              <w:t>/</w:t>
            </w:r>
            <w:proofErr w:type="spellStart"/>
            <w:r w:rsidRPr="00347B82">
              <w:rPr>
                <w:sz w:val="20"/>
                <w:szCs w:val="20"/>
              </w:rPr>
              <w:t>NaT</w:t>
            </w:r>
            <w:proofErr w:type="spellEnd"/>
            <w:r w:rsidRPr="00347B82">
              <w:rPr>
                <w:sz w:val="20"/>
                <w:szCs w:val="20"/>
              </w:rPr>
              <w:t xml:space="preserve"> values converted to NULL.</w:t>
            </w:r>
          </w:p>
          <w:p w14:paraId="7A21BC40" w14:textId="71C728A7" w:rsidR="005D4DC9" w:rsidRPr="00F16B15" w:rsidRDefault="00002BA0" w:rsidP="00002BA0">
            <w:pPr>
              <w:pStyle w:val="TipText"/>
              <w:ind w:left="633" w:hanging="284"/>
              <w:cnfStyle w:val="000000000000" w:firstRow="0" w:lastRow="0" w:firstColumn="0" w:lastColumn="0" w:oddVBand="0" w:evenVBand="0" w:oddHBand="0" w:evenHBand="0" w:firstRowFirstColumn="0" w:firstRowLastColumn="0" w:lastRowFirstColumn="0" w:lastRowLastColumn="0"/>
            </w:pPr>
            <w:r w:rsidRPr="00347B82">
              <w:rPr>
                <w:sz w:val="20"/>
                <w:szCs w:val="20"/>
              </w:rPr>
              <w:t>•</w:t>
            </w:r>
            <w:r w:rsidRPr="00347B82">
              <w:rPr>
                <w:sz w:val="20"/>
                <w:szCs w:val="20"/>
              </w:rPr>
              <w:tab/>
              <w:t>Transform (post-load): All analytical aggregation — rankings, grouping, window functions — is pushed down into SQL so the raw table stays a single source of truth for every downstream query.</w:t>
            </w:r>
          </w:p>
        </w:tc>
      </w:tr>
    </w:tbl>
    <w:p w14:paraId="2405636E" w14:textId="401BC839" w:rsidR="003312ED" w:rsidRDefault="00F26541">
      <w:pPr>
        <w:pStyle w:val="Heading2"/>
      </w:pPr>
      <w:r>
        <w:lastRenderedPageBreak/>
        <w:t>Data Migration</w:t>
      </w:r>
    </w:p>
    <w:tbl>
      <w:tblPr>
        <w:tblStyle w:val="TipTable"/>
        <w:tblW w:w="5000" w:type="pct"/>
        <w:tblLook w:val="04A0" w:firstRow="1" w:lastRow="0" w:firstColumn="1" w:lastColumn="0" w:noHBand="0" w:noVBand="1"/>
        <w:tblDescription w:val="Layout table"/>
      </w:tblPr>
      <w:tblGrid>
        <w:gridCol w:w="359"/>
        <w:gridCol w:w="9001"/>
      </w:tblGrid>
      <w:tr w:rsidR="005D4DC9" w14:paraId="6A277C56"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7DC426CF" w14:textId="77777777" w:rsidR="005D4DC9" w:rsidRPr="00347B82" w:rsidRDefault="005D4DC9" w:rsidP="00F16B15">
            <w:pPr>
              <w:jc w:val="left"/>
              <w:rPr>
                <w:szCs w:val="20"/>
              </w:rPr>
            </w:pPr>
          </w:p>
        </w:tc>
        <w:tc>
          <w:tcPr>
            <w:tcW w:w="4808" w:type="pct"/>
            <w:shd w:val="clear" w:color="auto" w:fill="auto"/>
          </w:tcPr>
          <w:p w14:paraId="6911C7B6" w14:textId="5DD44971" w:rsidR="005D4DC9" w:rsidRPr="00347B82" w:rsidRDefault="00F26541" w:rsidP="00F16B15">
            <w:pPr>
              <w:pStyle w:val="TipText"/>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 xml:space="preserve">In this project; the migration path is API → pandas → MySQL. Raw JSON responses from the USGS API are parsed directly into a </w:t>
            </w:r>
            <w:proofErr w:type="gramStart"/>
            <w:r w:rsidRPr="00347B82">
              <w:rPr>
                <w:sz w:val="20"/>
                <w:szCs w:val="20"/>
              </w:rPr>
              <w:t xml:space="preserve">flat pandas </w:t>
            </w:r>
            <w:proofErr w:type="spellStart"/>
            <w:r w:rsidRPr="00347B82">
              <w:rPr>
                <w:sz w:val="20"/>
                <w:szCs w:val="20"/>
              </w:rPr>
              <w:t>DataFrame</w:t>
            </w:r>
            <w:proofErr w:type="spellEnd"/>
            <w:proofErr w:type="gramEnd"/>
            <w:r w:rsidRPr="00347B82">
              <w:rPr>
                <w:sz w:val="20"/>
                <w:szCs w:val="20"/>
              </w:rPr>
              <w:t xml:space="preserve"> in memory, cleaned, and then transferred in bulk to a purpose-built MySQL schema (</w:t>
            </w:r>
            <w:proofErr w:type="spellStart"/>
            <w:r w:rsidRPr="00347B82">
              <w:rPr>
                <w:sz w:val="20"/>
                <w:szCs w:val="20"/>
              </w:rPr>
              <w:t>earthquake_data</w:t>
            </w:r>
            <w:proofErr w:type="spellEnd"/>
            <w:r w:rsidRPr="00347B82">
              <w:rPr>
                <w:sz w:val="20"/>
                <w:szCs w:val="20"/>
              </w:rPr>
              <w:t xml:space="preserve">) with an explicit CREATE TABLE statement defining 36 typed columns (VARCHAR, FLOAT, INT, DATETIME, TEXT). Loading in bulk via </w:t>
            </w:r>
            <w:r w:rsidR="003A227D" w:rsidRPr="00347B82">
              <w:rPr>
                <w:sz w:val="20"/>
                <w:szCs w:val="20"/>
              </w:rPr>
              <w:t>“</w:t>
            </w:r>
            <w:proofErr w:type="spellStart"/>
            <w:r w:rsidRPr="00347B82">
              <w:rPr>
                <w:sz w:val="20"/>
                <w:szCs w:val="20"/>
              </w:rPr>
              <w:t>executemany</w:t>
            </w:r>
            <w:proofErr w:type="spellEnd"/>
            <w:r w:rsidR="003A227D" w:rsidRPr="00347B82">
              <w:rPr>
                <w:sz w:val="20"/>
                <w:szCs w:val="20"/>
              </w:rPr>
              <w:t>”.</w:t>
            </w:r>
          </w:p>
        </w:tc>
      </w:tr>
    </w:tbl>
    <w:p w14:paraId="07D9ECAD" w14:textId="77777777" w:rsidR="003312ED" w:rsidRPr="009923A8" w:rsidRDefault="003312ED" w:rsidP="009923A8">
      <w:pPr>
        <w:pStyle w:val="TipText"/>
      </w:pPr>
    </w:p>
    <w:p w14:paraId="4E595EDF" w14:textId="431594C6" w:rsidR="003312ED" w:rsidRDefault="003A227D">
      <w:pPr>
        <w:pStyle w:val="Heading2"/>
      </w:pPr>
      <w:r w:rsidRPr="003A227D">
        <w:t>Exploratory Data Analysis</w:t>
      </w:r>
      <w:r>
        <w:t xml:space="preserve"> (EDA)</w:t>
      </w:r>
    </w:p>
    <w:tbl>
      <w:tblPr>
        <w:tblStyle w:val="TipTable"/>
        <w:tblW w:w="5000" w:type="pct"/>
        <w:tblLook w:val="04A0" w:firstRow="1" w:lastRow="0" w:firstColumn="1" w:lastColumn="0" w:noHBand="0" w:noVBand="1"/>
        <w:tblDescription w:val="Layout table"/>
      </w:tblPr>
      <w:tblGrid>
        <w:gridCol w:w="359"/>
        <w:gridCol w:w="9001"/>
      </w:tblGrid>
      <w:tr w:rsidR="005D4DC9" w14:paraId="1A98881E"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5599696D" w14:textId="77777777" w:rsidR="005D4DC9" w:rsidRPr="00347B82" w:rsidRDefault="005D4DC9" w:rsidP="00F16B15">
            <w:pPr>
              <w:jc w:val="left"/>
              <w:rPr>
                <w:szCs w:val="20"/>
              </w:rPr>
            </w:pPr>
          </w:p>
        </w:tc>
        <w:tc>
          <w:tcPr>
            <w:tcW w:w="4808" w:type="pct"/>
            <w:shd w:val="clear" w:color="auto" w:fill="auto"/>
          </w:tcPr>
          <w:p w14:paraId="69291B78" w14:textId="77777777" w:rsidR="003A227D" w:rsidRPr="00347B82" w:rsidRDefault="003A227D" w:rsidP="00F16B15">
            <w:pPr>
              <w:pStyle w:val="TipText"/>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Key findings are as follows:</w:t>
            </w:r>
          </w:p>
          <w:p w14:paraId="4A464AD1" w14:textId="77777777" w:rsidR="003A227D" w:rsidRPr="00347B82" w:rsidRDefault="003A227D" w:rsidP="003A227D">
            <w:pPr>
              <w:pStyle w:val="TipText"/>
              <w:ind w:left="633" w:hanging="284"/>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w:t>
            </w:r>
            <w:r w:rsidRPr="00347B82">
              <w:rPr>
                <w:sz w:val="20"/>
                <w:szCs w:val="20"/>
              </w:rPr>
              <w:tab/>
              <w:t>Scale: The dataset covers 119,347 earthquakes (magnitude ≥ 3) from 2021 through mid-2026.</w:t>
            </w:r>
          </w:p>
          <w:p w14:paraId="05B104C7" w14:textId="77777777" w:rsidR="003A227D" w:rsidRPr="00347B82" w:rsidRDefault="003A227D" w:rsidP="003A227D">
            <w:pPr>
              <w:pStyle w:val="TipText"/>
              <w:ind w:left="633" w:hanging="284"/>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w:t>
            </w:r>
            <w:r w:rsidRPr="00347B82">
              <w:rPr>
                <w:sz w:val="20"/>
                <w:szCs w:val="20"/>
              </w:rPr>
              <w:tab/>
              <w:t>Strongest events: The largest recorded magnitude was 8.8 (Russia), followed by 8.2 (Alaska) and 8.1 (New Zealand / unclassified).</w:t>
            </w:r>
          </w:p>
          <w:p w14:paraId="7310F964" w14:textId="77777777" w:rsidR="003A227D" w:rsidRPr="00347B82" w:rsidRDefault="003A227D" w:rsidP="003A227D">
            <w:pPr>
              <w:pStyle w:val="TipText"/>
              <w:ind w:left="633" w:hanging="284"/>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w:t>
            </w:r>
            <w:r w:rsidRPr="00347B82">
              <w:rPr>
                <w:sz w:val="20"/>
                <w:szCs w:val="20"/>
              </w:rPr>
              <w:tab/>
              <w:t>Deepest events: The deepest earthquakes reached over 680 km, concentrated in subduction-zone regions.</w:t>
            </w:r>
          </w:p>
          <w:p w14:paraId="6D3C6CE2" w14:textId="77777777" w:rsidR="003A227D" w:rsidRPr="00347B82" w:rsidRDefault="003A227D" w:rsidP="003A227D">
            <w:pPr>
              <w:pStyle w:val="TipText"/>
              <w:ind w:left="633" w:hanging="284"/>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w:t>
            </w:r>
            <w:r w:rsidRPr="00347B82">
              <w:rPr>
                <w:sz w:val="20"/>
                <w:szCs w:val="20"/>
              </w:rPr>
              <w:tab/>
              <w:t>Seasonality: 2025 was the most active year (22,819 events); July was the most active month (11,791 events); Friday was the most active day of week (17,252 events); event counts are fairly flat across hours of day, suggesting no strong diurnal bias.</w:t>
            </w:r>
          </w:p>
          <w:p w14:paraId="422A082C" w14:textId="5E7BA3AE" w:rsidR="003A227D" w:rsidRPr="00347B82" w:rsidRDefault="003A227D" w:rsidP="003A227D">
            <w:pPr>
              <w:pStyle w:val="TipText"/>
              <w:ind w:left="633" w:hanging="284"/>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w:t>
            </w:r>
            <w:r w:rsidRPr="00347B82">
              <w:rPr>
                <w:sz w:val="20"/>
                <w:szCs w:val="20"/>
              </w:rPr>
              <w:tab/>
              <w:t>Reporting network: The “</w:t>
            </w:r>
            <w:r w:rsidRPr="00347B82">
              <w:rPr>
                <w:sz w:val="20"/>
                <w:szCs w:val="20"/>
              </w:rPr>
              <w:t>US</w:t>
            </w:r>
            <w:r w:rsidRPr="00347B82">
              <w:rPr>
                <w:sz w:val="20"/>
                <w:szCs w:val="20"/>
              </w:rPr>
              <w:t>” (USGS) network accounts for the large majority of records (104,330 of 119,347).</w:t>
            </w:r>
          </w:p>
          <w:p w14:paraId="61885361" w14:textId="77777777" w:rsidR="003A227D" w:rsidRPr="00347B82" w:rsidRDefault="003A227D" w:rsidP="003A227D">
            <w:pPr>
              <w:pStyle w:val="TipText"/>
              <w:ind w:left="633" w:hanging="284"/>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w:t>
            </w:r>
            <w:r w:rsidRPr="00347B82">
              <w:rPr>
                <w:sz w:val="20"/>
                <w:szCs w:val="20"/>
              </w:rPr>
              <w:tab/>
              <w:t xml:space="preserve">Review status: 119,183 events were human-reviewed versus only 164 </w:t>
            </w:r>
            <w:proofErr w:type="gramStart"/>
            <w:r w:rsidRPr="00347B82">
              <w:rPr>
                <w:sz w:val="20"/>
                <w:szCs w:val="20"/>
              </w:rPr>
              <w:t>automatic</w:t>
            </w:r>
            <w:proofErr w:type="gramEnd"/>
            <w:r w:rsidRPr="00347B82">
              <w:rPr>
                <w:sz w:val="20"/>
                <w:szCs w:val="20"/>
              </w:rPr>
              <w:t>, indicating high data quality.</w:t>
            </w:r>
          </w:p>
          <w:p w14:paraId="45F39072" w14:textId="77777777" w:rsidR="003A227D" w:rsidRPr="00347B82" w:rsidRDefault="003A227D" w:rsidP="003A227D">
            <w:pPr>
              <w:pStyle w:val="TipText"/>
              <w:ind w:left="633" w:hanging="284"/>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w:t>
            </w:r>
            <w:r w:rsidRPr="00347B82">
              <w:rPr>
                <w:sz w:val="20"/>
                <w:szCs w:val="20"/>
              </w:rPr>
              <w:tab/>
              <w:t>Event type: 118,449 of 119,347 records are natural earthquakes; the remainder are mostly mining explosions (851) with a handful of ice quakes, volcanic events, and landslides.</w:t>
            </w:r>
          </w:p>
          <w:p w14:paraId="2BF947F2" w14:textId="77777777" w:rsidR="003A227D" w:rsidRPr="00347B82" w:rsidRDefault="003A227D" w:rsidP="003A227D">
            <w:pPr>
              <w:pStyle w:val="TipText"/>
              <w:ind w:left="633" w:hanging="284"/>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w:t>
            </w:r>
            <w:r w:rsidRPr="00347B82">
              <w:rPr>
                <w:sz w:val="20"/>
                <w:szCs w:val="20"/>
              </w:rPr>
              <w:tab/>
              <w:t>Tsunami &amp; alerts: Tsunami-triggering events ranged from 114–142 per year; among alert levels, “green” dominates (4,681) versus a small number of yellow/orange/red high-severity alerts.</w:t>
            </w:r>
          </w:p>
          <w:p w14:paraId="1549E349" w14:textId="77777777" w:rsidR="003A227D" w:rsidRPr="00347B82" w:rsidRDefault="003A227D" w:rsidP="003A227D">
            <w:pPr>
              <w:pStyle w:val="TipText"/>
              <w:ind w:left="633" w:hanging="284"/>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w:t>
            </w:r>
            <w:r w:rsidRPr="00347B82">
              <w:rPr>
                <w:sz w:val="20"/>
                <w:szCs w:val="20"/>
              </w:rPr>
              <w:tab/>
              <w:t>Year-over-year trend: Annual counts fluctuated between roughly 14,900 and 22,800, with growth rates swinging from –10.4% to +22.3% year to year — no steady upward or downward trend.</w:t>
            </w:r>
          </w:p>
          <w:p w14:paraId="4EA12F3A" w14:textId="77777777" w:rsidR="003A227D" w:rsidRPr="00347B82" w:rsidRDefault="003A227D" w:rsidP="003A227D">
            <w:pPr>
              <w:pStyle w:val="TipText"/>
              <w:ind w:left="633" w:hanging="284"/>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w:t>
            </w:r>
            <w:r w:rsidRPr="00347B82">
              <w:rPr>
                <w:sz w:val="20"/>
                <w:szCs w:val="20"/>
              </w:rPr>
              <w:tab/>
              <w:t xml:space="preserve">Geography: Russia, Myanmar, and the </w:t>
            </w:r>
            <w:proofErr w:type="spellStart"/>
            <w:r w:rsidRPr="00347B82">
              <w:rPr>
                <w:sz w:val="20"/>
                <w:szCs w:val="20"/>
              </w:rPr>
              <w:t>Kahramanmaraş</w:t>
            </w:r>
            <w:proofErr w:type="spellEnd"/>
            <w:r w:rsidRPr="00347B82">
              <w:rPr>
                <w:sz w:val="20"/>
                <w:szCs w:val="20"/>
              </w:rPr>
              <w:t xml:space="preserve"> (Turkey/Syria) sequence had the highest average magnitudes among named regions; the Philippines, Papua New Guinea, and Peru had the greatest average depths near the equator; Fiji and Tonga lead in deep-focus (&gt;300 km) event counts.</w:t>
            </w:r>
          </w:p>
          <w:p w14:paraId="796E6152" w14:textId="189D9765" w:rsidR="005D4DC9" w:rsidRPr="00347B82" w:rsidRDefault="003A227D" w:rsidP="003A227D">
            <w:pPr>
              <w:pStyle w:val="TipText"/>
              <w:ind w:left="633" w:hanging="284"/>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lastRenderedPageBreak/>
              <w:t>•</w:t>
            </w:r>
            <w:r w:rsidRPr="00347B82">
              <w:rPr>
                <w:sz w:val="20"/>
                <w:szCs w:val="20"/>
              </w:rPr>
              <w:tab/>
              <w:t>Tsunami vs. non-tsunami magnitude: Tsunami-linked events average 5.42 in magnitude versus 4.25 for non-tsunami events, a gap of about 1.17 — consistent with the physical link between larger, shallow undersea ruptures and tsunami generation</w:t>
            </w:r>
          </w:p>
        </w:tc>
      </w:tr>
    </w:tbl>
    <w:p w14:paraId="68AAAE27" w14:textId="77777777" w:rsidR="003312ED" w:rsidRDefault="003312ED" w:rsidP="00CA5572">
      <w:pPr>
        <w:pStyle w:val="TipText"/>
      </w:pPr>
    </w:p>
    <w:p w14:paraId="76E80467" w14:textId="4B996031" w:rsidR="003312ED" w:rsidRDefault="00347B82">
      <w:pPr>
        <w:pStyle w:val="Heading2"/>
      </w:pPr>
      <w:r w:rsidRPr="00347B82">
        <w:t>Statistical Technique</w:t>
      </w:r>
    </w:p>
    <w:tbl>
      <w:tblPr>
        <w:tblStyle w:val="TipTable"/>
        <w:tblW w:w="5000" w:type="pct"/>
        <w:tblLook w:val="04A0" w:firstRow="1" w:lastRow="0" w:firstColumn="1" w:lastColumn="0" w:noHBand="0" w:noVBand="1"/>
        <w:tblDescription w:val="Layout table"/>
      </w:tblPr>
      <w:tblGrid>
        <w:gridCol w:w="359"/>
        <w:gridCol w:w="9001"/>
      </w:tblGrid>
      <w:tr w:rsidR="005D4DC9" w14:paraId="0999F05D"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3DFDD562" w14:textId="77777777" w:rsidR="005D4DC9" w:rsidRDefault="005D4DC9" w:rsidP="00F16B15">
            <w:pPr>
              <w:jc w:val="left"/>
            </w:pPr>
          </w:p>
        </w:tc>
        <w:tc>
          <w:tcPr>
            <w:tcW w:w="4808" w:type="pct"/>
            <w:shd w:val="clear" w:color="auto" w:fill="auto"/>
          </w:tcPr>
          <w:p w14:paraId="6367A0F1" w14:textId="77777777" w:rsidR="00347B82" w:rsidRPr="00347B82" w:rsidRDefault="00347B82" w:rsidP="00347B82">
            <w:pPr>
              <w:pStyle w:val="TipText"/>
              <w:cnfStyle w:val="000000000000" w:firstRow="0" w:lastRow="0" w:firstColumn="0" w:lastColumn="0" w:oddVBand="0" w:evenVBand="0" w:oddHBand="0" w:evenHBand="0" w:firstRowFirstColumn="0" w:firstRowLastColumn="0" w:lastRowFirstColumn="0" w:lastRowLastColumn="0"/>
              <w:rPr>
                <w:b/>
                <w:bCs/>
                <w:sz w:val="20"/>
                <w:szCs w:val="20"/>
              </w:rPr>
            </w:pPr>
            <w:r w:rsidRPr="00347B82">
              <w:rPr>
                <w:b/>
                <w:bCs/>
                <w:sz w:val="20"/>
                <w:szCs w:val="20"/>
              </w:rPr>
              <w:t>SQL Aggregate Functions</w:t>
            </w:r>
          </w:p>
          <w:p w14:paraId="3008F21C" w14:textId="0D921CDF" w:rsidR="00347B82" w:rsidRPr="00347B82" w:rsidRDefault="00347B82" w:rsidP="00347B82">
            <w:pPr>
              <w:pStyle w:val="TipText"/>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An aggregate function is a function that performs a calculation on a set of values, and returns a single value.</w:t>
            </w:r>
          </w:p>
          <w:p w14:paraId="57914471" w14:textId="396A4624" w:rsidR="00347B82" w:rsidRPr="00347B82" w:rsidRDefault="00347B82" w:rsidP="00347B82">
            <w:pPr>
              <w:pStyle w:val="TipText"/>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Aggregate functions are often used with the GROUP BY clause of the SELECT statement. The GROUP BY clause splits the result-set into groups of values and the aggregate function can be used to return a single value for each group.</w:t>
            </w:r>
          </w:p>
          <w:p w14:paraId="1F294F06" w14:textId="3D11B695" w:rsidR="00347B82" w:rsidRPr="00347B82" w:rsidRDefault="00347B82" w:rsidP="00347B82">
            <w:pPr>
              <w:pStyle w:val="TipText"/>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The most commonly used SQL aggregate functions are:</w:t>
            </w:r>
          </w:p>
          <w:p w14:paraId="0EC96C6E" w14:textId="77777777" w:rsidR="00347B82" w:rsidRPr="00347B82" w:rsidRDefault="00347B82" w:rsidP="00347B82">
            <w:pPr>
              <w:pStyle w:val="TipText"/>
              <w:cnfStyle w:val="000000000000" w:firstRow="0" w:lastRow="0" w:firstColumn="0" w:lastColumn="0" w:oddVBand="0" w:evenVBand="0" w:oddHBand="0" w:evenHBand="0" w:firstRowFirstColumn="0" w:firstRowLastColumn="0" w:lastRowFirstColumn="0" w:lastRowLastColumn="0"/>
              <w:rPr>
                <w:sz w:val="20"/>
                <w:szCs w:val="20"/>
              </w:rPr>
            </w:pPr>
            <w:proofErr w:type="gramStart"/>
            <w:r w:rsidRPr="00347B82">
              <w:rPr>
                <w:sz w:val="20"/>
                <w:szCs w:val="20"/>
              </w:rPr>
              <w:t>MIN(</w:t>
            </w:r>
            <w:proofErr w:type="gramEnd"/>
            <w:r w:rsidRPr="00347B82">
              <w:rPr>
                <w:sz w:val="20"/>
                <w:szCs w:val="20"/>
              </w:rPr>
              <w:t>) - returns the smallest value of a column</w:t>
            </w:r>
          </w:p>
          <w:p w14:paraId="605163DE" w14:textId="77777777" w:rsidR="00347B82" w:rsidRPr="00347B82" w:rsidRDefault="00347B82" w:rsidP="00347B82">
            <w:pPr>
              <w:pStyle w:val="TipText"/>
              <w:cnfStyle w:val="000000000000" w:firstRow="0" w:lastRow="0" w:firstColumn="0" w:lastColumn="0" w:oddVBand="0" w:evenVBand="0" w:oddHBand="0" w:evenHBand="0" w:firstRowFirstColumn="0" w:firstRowLastColumn="0" w:lastRowFirstColumn="0" w:lastRowLastColumn="0"/>
              <w:rPr>
                <w:sz w:val="20"/>
                <w:szCs w:val="20"/>
              </w:rPr>
            </w:pPr>
            <w:proofErr w:type="gramStart"/>
            <w:r w:rsidRPr="00347B82">
              <w:rPr>
                <w:sz w:val="20"/>
                <w:szCs w:val="20"/>
              </w:rPr>
              <w:t>MAX(</w:t>
            </w:r>
            <w:proofErr w:type="gramEnd"/>
            <w:r w:rsidRPr="00347B82">
              <w:rPr>
                <w:sz w:val="20"/>
                <w:szCs w:val="20"/>
              </w:rPr>
              <w:t>) - returns the largest value of a column</w:t>
            </w:r>
          </w:p>
          <w:p w14:paraId="2D71266C" w14:textId="77777777" w:rsidR="00347B82" w:rsidRPr="00347B82" w:rsidRDefault="00347B82" w:rsidP="00347B82">
            <w:pPr>
              <w:pStyle w:val="TipText"/>
              <w:cnfStyle w:val="000000000000" w:firstRow="0" w:lastRow="0" w:firstColumn="0" w:lastColumn="0" w:oddVBand="0" w:evenVBand="0" w:oddHBand="0" w:evenHBand="0" w:firstRowFirstColumn="0" w:firstRowLastColumn="0" w:lastRowFirstColumn="0" w:lastRowLastColumn="0"/>
              <w:rPr>
                <w:sz w:val="20"/>
                <w:szCs w:val="20"/>
              </w:rPr>
            </w:pPr>
            <w:proofErr w:type="gramStart"/>
            <w:r w:rsidRPr="00347B82">
              <w:rPr>
                <w:sz w:val="20"/>
                <w:szCs w:val="20"/>
              </w:rPr>
              <w:t>COUNT(</w:t>
            </w:r>
            <w:proofErr w:type="gramEnd"/>
            <w:r w:rsidRPr="00347B82">
              <w:rPr>
                <w:sz w:val="20"/>
                <w:szCs w:val="20"/>
              </w:rPr>
              <w:t>) - returns the number of rows in a set</w:t>
            </w:r>
          </w:p>
          <w:p w14:paraId="68DBD0DA" w14:textId="77777777" w:rsidR="00347B82" w:rsidRPr="00347B82" w:rsidRDefault="00347B82" w:rsidP="00347B82">
            <w:pPr>
              <w:pStyle w:val="TipText"/>
              <w:cnfStyle w:val="000000000000" w:firstRow="0" w:lastRow="0" w:firstColumn="0" w:lastColumn="0" w:oddVBand="0" w:evenVBand="0" w:oddHBand="0" w:evenHBand="0" w:firstRowFirstColumn="0" w:firstRowLastColumn="0" w:lastRowFirstColumn="0" w:lastRowLastColumn="0"/>
              <w:rPr>
                <w:sz w:val="20"/>
                <w:szCs w:val="20"/>
              </w:rPr>
            </w:pPr>
            <w:proofErr w:type="gramStart"/>
            <w:r w:rsidRPr="00347B82">
              <w:rPr>
                <w:sz w:val="20"/>
                <w:szCs w:val="20"/>
              </w:rPr>
              <w:t>SUM(</w:t>
            </w:r>
            <w:proofErr w:type="gramEnd"/>
            <w:r w:rsidRPr="00347B82">
              <w:rPr>
                <w:sz w:val="20"/>
                <w:szCs w:val="20"/>
              </w:rPr>
              <w:t>) - returns the sum of a numerical column</w:t>
            </w:r>
          </w:p>
          <w:p w14:paraId="464F410D" w14:textId="77777777" w:rsidR="00347B82" w:rsidRPr="00347B82" w:rsidRDefault="00347B82" w:rsidP="00347B82">
            <w:pPr>
              <w:pStyle w:val="TipText"/>
              <w:cnfStyle w:val="000000000000" w:firstRow="0" w:lastRow="0" w:firstColumn="0" w:lastColumn="0" w:oddVBand="0" w:evenVBand="0" w:oddHBand="0" w:evenHBand="0" w:firstRowFirstColumn="0" w:firstRowLastColumn="0" w:lastRowFirstColumn="0" w:lastRowLastColumn="0"/>
              <w:rPr>
                <w:sz w:val="20"/>
                <w:szCs w:val="20"/>
              </w:rPr>
            </w:pPr>
            <w:proofErr w:type="gramStart"/>
            <w:r w:rsidRPr="00347B82">
              <w:rPr>
                <w:sz w:val="20"/>
                <w:szCs w:val="20"/>
              </w:rPr>
              <w:t>AVG(</w:t>
            </w:r>
            <w:proofErr w:type="gramEnd"/>
            <w:r w:rsidRPr="00347B82">
              <w:rPr>
                <w:sz w:val="20"/>
                <w:szCs w:val="20"/>
              </w:rPr>
              <w:t>) - returns the average value of a numerical column</w:t>
            </w:r>
          </w:p>
          <w:p w14:paraId="56D9784E" w14:textId="77777777" w:rsidR="00347B82" w:rsidRPr="00347B82" w:rsidRDefault="00347B82" w:rsidP="00347B82">
            <w:pPr>
              <w:pStyle w:val="TipText"/>
              <w:cnfStyle w:val="000000000000" w:firstRow="0" w:lastRow="0" w:firstColumn="0" w:lastColumn="0" w:oddVBand="0" w:evenVBand="0" w:oddHBand="0" w:evenHBand="0" w:firstRowFirstColumn="0" w:firstRowLastColumn="0" w:lastRowFirstColumn="0" w:lastRowLastColumn="0"/>
              <w:rPr>
                <w:b/>
                <w:bCs/>
                <w:sz w:val="20"/>
                <w:szCs w:val="20"/>
              </w:rPr>
            </w:pPr>
          </w:p>
          <w:p w14:paraId="5A84C21A" w14:textId="782F1DBE" w:rsidR="00347B82" w:rsidRPr="00347B82" w:rsidRDefault="00347B82" w:rsidP="00347B82">
            <w:pPr>
              <w:pStyle w:val="TipText"/>
              <w:cnfStyle w:val="000000000000" w:firstRow="0" w:lastRow="0" w:firstColumn="0" w:lastColumn="0" w:oddVBand="0" w:evenVBand="0" w:oddHBand="0" w:evenHBand="0" w:firstRowFirstColumn="0" w:firstRowLastColumn="0" w:lastRowFirstColumn="0" w:lastRowLastColumn="0"/>
              <w:rPr>
                <w:b/>
                <w:bCs/>
                <w:sz w:val="20"/>
                <w:szCs w:val="20"/>
              </w:rPr>
            </w:pPr>
            <w:r w:rsidRPr="00347B82">
              <w:rPr>
                <w:b/>
                <w:bCs/>
                <w:sz w:val="20"/>
                <w:szCs w:val="20"/>
              </w:rPr>
              <w:t xml:space="preserve">SQL </w:t>
            </w:r>
            <w:r w:rsidRPr="00347B82">
              <w:rPr>
                <w:b/>
                <w:bCs/>
                <w:sz w:val="20"/>
                <w:szCs w:val="20"/>
              </w:rPr>
              <w:t>Window</w:t>
            </w:r>
            <w:r w:rsidRPr="00347B82">
              <w:rPr>
                <w:b/>
                <w:bCs/>
                <w:sz w:val="20"/>
                <w:szCs w:val="20"/>
              </w:rPr>
              <w:t xml:space="preserve"> Functions</w:t>
            </w:r>
          </w:p>
          <w:p w14:paraId="0BF0C0A6" w14:textId="77777777" w:rsidR="00347B82" w:rsidRPr="00347B82" w:rsidRDefault="00347B82" w:rsidP="00347B82">
            <w:pPr>
              <w:pStyle w:val="TipText"/>
              <w:cnfStyle w:val="000000000000" w:firstRow="0" w:lastRow="0" w:firstColumn="0" w:lastColumn="0" w:oddVBand="0" w:evenVBand="0" w:oddHBand="0" w:evenHBand="0" w:firstRowFirstColumn="0" w:firstRowLastColumn="0" w:lastRowFirstColumn="0" w:lastRowLastColumn="0"/>
              <w:rPr>
                <w:sz w:val="20"/>
                <w:szCs w:val="20"/>
                <w:lang w:val="en-IN"/>
              </w:rPr>
            </w:pPr>
            <w:r w:rsidRPr="00347B82">
              <w:rPr>
                <w:sz w:val="20"/>
                <w:szCs w:val="20"/>
                <w:lang w:val="en-IN"/>
              </w:rPr>
              <w:t>SQL window functions allow performing calculations across a set of rows that are related to the current row, without collapsing the result into a single value. They are commonly used for tasks like aggregates, rankings and running totals. The OVER clause defines the “window” of rows for the calculation. It can:</w:t>
            </w:r>
          </w:p>
          <w:p w14:paraId="2E1B51D5" w14:textId="704544A3" w:rsidR="00347B82" w:rsidRPr="00347B82" w:rsidRDefault="00347B82" w:rsidP="00347B82">
            <w:pPr>
              <w:pStyle w:val="TipText"/>
              <w:numPr>
                <w:ilvl w:val="0"/>
                <w:numId w:val="17"/>
              </w:numPr>
              <w:cnfStyle w:val="000000000000" w:firstRow="0" w:lastRow="0" w:firstColumn="0" w:lastColumn="0" w:oddVBand="0" w:evenVBand="0" w:oddHBand="0" w:evenHBand="0" w:firstRowFirstColumn="0" w:firstRowLastColumn="0" w:lastRowFirstColumn="0" w:lastRowLastColumn="0"/>
              <w:rPr>
                <w:sz w:val="20"/>
                <w:szCs w:val="20"/>
                <w:lang w:val="en-IN"/>
              </w:rPr>
            </w:pPr>
            <w:r w:rsidRPr="00347B82">
              <w:rPr>
                <w:b/>
                <w:bCs/>
                <w:sz w:val="20"/>
                <w:szCs w:val="20"/>
                <w:lang w:val="en-IN"/>
              </w:rPr>
              <w:t>PARTITION BY: </w:t>
            </w:r>
            <w:r w:rsidRPr="00347B82">
              <w:rPr>
                <w:sz w:val="20"/>
                <w:szCs w:val="20"/>
                <w:lang w:val="en-IN"/>
              </w:rPr>
              <w:t>It divides the data into groups using PARTITION BY.</w:t>
            </w:r>
          </w:p>
          <w:p w14:paraId="691F34B0" w14:textId="070A6AA1" w:rsidR="00347B82" w:rsidRPr="00347B82" w:rsidRDefault="00347B82" w:rsidP="00347B82">
            <w:pPr>
              <w:pStyle w:val="TipText"/>
              <w:numPr>
                <w:ilvl w:val="0"/>
                <w:numId w:val="18"/>
              </w:numPr>
              <w:cnfStyle w:val="000000000000" w:firstRow="0" w:lastRow="0" w:firstColumn="0" w:lastColumn="0" w:oddVBand="0" w:evenVBand="0" w:oddHBand="0" w:evenHBand="0" w:firstRowFirstColumn="0" w:firstRowLastColumn="0" w:lastRowFirstColumn="0" w:lastRowLastColumn="0"/>
              <w:rPr>
                <w:sz w:val="20"/>
                <w:szCs w:val="20"/>
                <w:lang w:val="en-IN"/>
              </w:rPr>
            </w:pPr>
            <w:r w:rsidRPr="00347B82">
              <w:rPr>
                <w:b/>
                <w:bCs/>
                <w:sz w:val="20"/>
                <w:szCs w:val="20"/>
                <w:lang w:val="en-IN"/>
              </w:rPr>
              <w:t>ORDER BY:</w:t>
            </w:r>
            <w:r w:rsidRPr="00347B82">
              <w:rPr>
                <w:sz w:val="20"/>
                <w:szCs w:val="20"/>
                <w:lang w:val="en-IN"/>
              </w:rPr>
              <w:t> It specifies the order of rows within each group using ORDER BY.</w:t>
            </w:r>
          </w:p>
          <w:p w14:paraId="4DEFF514" w14:textId="35A96613" w:rsidR="00347B82" w:rsidRPr="00347B82" w:rsidRDefault="00347B82" w:rsidP="00347B82">
            <w:pPr>
              <w:pStyle w:val="TipText"/>
              <w:cnfStyle w:val="000000000000" w:firstRow="0" w:lastRow="0" w:firstColumn="0" w:lastColumn="0" w:oddVBand="0" w:evenVBand="0" w:oddHBand="0" w:evenHBand="0" w:firstRowFirstColumn="0" w:firstRowLastColumn="0" w:lastRowFirstColumn="0" w:lastRowLastColumn="0"/>
              <w:rPr>
                <w:sz w:val="20"/>
                <w:szCs w:val="20"/>
                <w:lang w:val="en-IN"/>
              </w:rPr>
            </w:pPr>
            <w:r w:rsidRPr="00347B82">
              <w:rPr>
                <w:sz w:val="20"/>
                <w:szCs w:val="20"/>
                <w:lang w:val="en-IN"/>
              </w:rPr>
              <w:t xml:space="preserve">With this, functions such as </w:t>
            </w:r>
            <w:proofErr w:type="gramStart"/>
            <w:r w:rsidRPr="00347B82">
              <w:rPr>
                <w:sz w:val="20"/>
                <w:szCs w:val="20"/>
                <w:lang w:val="en-IN"/>
              </w:rPr>
              <w:t>SUM(</w:t>
            </w:r>
            <w:proofErr w:type="gramEnd"/>
            <w:r w:rsidRPr="00347B82">
              <w:rPr>
                <w:sz w:val="20"/>
                <w:szCs w:val="20"/>
                <w:lang w:val="en-IN"/>
              </w:rPr>
              <w:t xml:space="preserve">), </w:t>
            </w:r>
            <w:proofErr w:type="gramStart"/>
            <w:r w:rsidRPr="00347B82">
              <w:rPr>
                <w:sz w:val="20"/>
                <w:szCs w:val="20"/>
                <w:lang w:val="en-IN"/>
              </w:rPr>
              <w:t>AVG(</w:t>
            </w:r>
            <w:proofErr w:type="gramEnd"/>
            <w:r w:rsidRPr="00347B82">
              <w:rPr>
                <w:sz w:val="20"/>
                <w:szCs w:val="20"/>
                <w:lang w:val="en-IN"/>
              </w:rPr>
              <w:t>), ROW_</w:t>
            </w:r>
            <w:proofErr w:type="gramStart"/>
            <w:r w:rsidRPr="00347B82">
              <w:rPr>
                <w:sz w:val="20"/>
                <w:szCs w:val="20"/>
                <w:lang w:val="en-IN"/>
              </w:rPr>
              <w:t>NUMBER(</w:t>
            </w:r>
            <w:proofErr w:type="gramEnd"/>
            <w:r w:rsidRPr="00347B82">
              <w:rPr>
                <w:sz w:val="20"/>
                <w:szCs w:val="20"/>
                <w:lang w:val="en-IN"/>
              </w:rPr>
              <w:t xml:space="preserve">), </w:t>
            </w:r>
            <w:proofErr w:type="gramStart"/>
            <w:r w:rsidRPr="00347B82">
              <w:rPr>
                <w:sz w:val="20"/>
                <w:szCs w:val="20"/>
                <w:lang w:val="en-IN"/>
              </w:rPr>
              <w:t>RANK(</w:t>
            </w:r>
            <w:proofErr w:type="gramEnd"/>
            <w:r w:rsidRPr="00347B82">
              <w:rPr>
                <w:sz w:val="20"/>
                <w:szCs w:val="20"/>
                <w:lang w:val="en-IN"/>
              </w:rPr>
              <w:t>) and DENSE_</w:t>
            </w:r>
            <w:proofErr w:type="gramStart"/>
            <w:r w:rsidRPr="00347B82">
              <w:rPr>
                <w:sz w:val="20"/>
                <w:szCs w:val="20"/>
                <w:lang w:val="en-IN"/>
              </w:rPr>
              <w:t>RANK(</w:t>
            </w:r>
            <w:proofErr w:type="gramEnd"/>
            <w:r w:rsidRPr="00347B82">
              <w:rPr>
                <w:sz w:val="20"/>
                <w:szCs w:val="20"/>
                <w:lang w:val="en-IN"/>
              </w:rPr>
              <w:t>) can be applied in a controlled way.</w:t>
            </w:r>
          </w:p>
        </w:tc>
      </w:tr>
    </w:tbl>
    <w:p w14:paraId="71A6C911" w14:textId="77777777" w:rsidR="003312ED" w:rsidRPr="009923A8" w:rsidRDefault="003312ED" w:rsidP="009923A8">
      <w:pPr>
        <w:pStyle w:val="TipText"/>
      </w:pPr>
    </w:p>
    <w:p w14:paraId="267C949A" w14:textId="434D5CCC" w:rsidR="003312ED" w:rsidRDefault="00347B82" w:rsidP="00704472">
      <w:pPr>
        <w:pStyle w:val="Heading2"/>
      </w:pPr>
      <w:r>
        <w:t>Conclusion</w:t>
      </w:r>
    </w:p>
    <w:tbl>
      <w:tblPr>
        <w:tblStyle w:val="TipTable"/>
        <w:tblW w:w="5000" w:type="pct"/>
        <w:tblLook w:val="04A0" w:firstRow="1" w:lastRow="0" w:firstColumn="1" w:lastColumn="0" w:noHBand="0" w:noVBand="1"/>
        <w:tblDescription w:val="Layout table"/>
      </w:tblPr>
      <w:tblGrid>
        <w:gridCol w:w="359"/>
        <w:gridCol w:w="9001"/>
      </w:tblGrid>
      <w:tr w:rsidR="005D4DC9" w14:paraId="318126FF"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145DA281" w14:textId="77777777" w:rsidR="005D4DC9" w:rsidRPr="00347B82" w:rsidRDefault="005D4DC9" w:rsidP="00F16B15">
            <w:pPr>
              <w:jc w:val="left"/>
              <w:rPr>
                <w:szCs w:val="20"/>
              </w:rPr>
            </w:pPr>
          </w:p>
        </w:tc>
        <w:tc>
          <w:tcPr>
            <w:tcW w:w="4808" w:type="pct"/>
            <w:shd w:val="clear" w:color="auto" w:fill="auto"/>
          </w:tcPr>
          <w:p w14:paraId="672FD812" w14:textId="5313EB43" w:rsidR="005D4DC9" w:rsidRPr="00347B82" w:rsidRDefault="00347B82" w:rsidP="00F16B15">
            <w:pPr>
              <w:pStyle w:val="TipText"/>
              <w:cnfStyle w:val="000000000000" w:firstRow="0" w:lastRow="0" w:firstColumn="0" w:lastColumn="0" w:oddVBand="0" w:evenVBand="0" w:oddHBand="0" w:evenHBand="0" w:firstRowFirstColumn="0" w:firstRowLastColumn="0" w:lastRowFirstColumn="0" w:lastRowLastColumn="0"/>
              <w:rPr>
                <w:sz w:val="20"/>
                <w:szCs w:val="20"/>
              </w:rPr>
            </w:pPr>
            <w:r w:rsidRPr="00347B82">
              <w:rPr>
                <w:sz w:val="20"/>
                <w:szCs w:val="20"/>
              </w:rPr>
              <w:t>Across roughly five and a half years of USGS data, global earthquake activity (magnitude ≥ 3) shows no clear long-term trend — annual counts oscillate rather than rising or falling steadily. Activity is concentrated along known subduction and fault zones (Russia, Alaska, Indonesia, Japan, the Philippines, Fiji/Tonga), the vast majority of events are correctly classified natural earthquakes with reviewed status, and tsunami risk correlates strongly with higher-magnitude, shallower events. July and Fridays stood out as the most active month and weekday in this sample, though with only ~5.5 years of data this should be treated as descriptive rather than a proven seasonal cycle</w:t>
            </w:r>
            <w:r w:rsidR="00121E91" w:rsidRPr="00347B82">
              <w:rPr>
                <w:sz w:val="20"/>
                <w:szCs w:val="20"/>
              </w:rPr>
              <w:t>.</w:t>
            </w:r>
          </w:p>
        </w:tc>
      </w:tr>
    </w:tbl>
    <w:p w14:paraId="42C1D329" w14:textId="77777777" w:rsidR="003312ED" w:rsidRPr="009923A8" w:rsidRDefault="003312ED" w:rsidP="009923A8">
      <w:pPr>
        <w:pStyle w:val="TipText"/>
      </w:pPr>
    </w:p>
    <w:p w14:paraId="20CEB386" w14:textId="2E1F8007" w:rsidR="003312ED" w:rsidRDefault="00347B82">
      <w:pPr>
        <w:pStyle w:val="Heading2"/>
      </w:pPr>
      <w:r w:rsidRPr="00347B82">
        <w:lastRenderedPageBreak/>
        <w:t>Business Suggestion / Solution</w:t>
      </w:r>
    </w:p>
    <w:tbl>
      <w:tblPr>
        <w:tblStyle w:val="TipTable"/>
        <w:tblW w:w="5000" w:type="pct"/>
        <w:tblLook w:val="04A0" w:firstRow="1" w:lastRow="0" w:firstColumn="1" w:lastColumn="0" w:noHBand="0" w:noVBand="1"/>
        <w:tblDescription w:val="Layout table"/>
      </w:tblPr>
      <w:tblGrid>
        <w:gridCol w:w="359"/>
        <w:gridCol w:w="9001"/>
      </w:tblGrid>
      <w:tr w:rsidR="005D4DC9" w14:paraId="28401407"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34C9D72C" w14:textId="77777777" w:rsidR="005D4DC9" w:rsidRDefault="005D4DC9" w:rsidP="00F16B15">
            <w:pPr>
              <w:jc w:val="left"/>
            </w:pPr>
          </w:p>
        </w:tc>
        <w:tc>
          <w:tcPr>
            <w:tcW w:w="4808" w:type="pct"/>
            <w:shd w:val="clear" w:color="auto" w:fill="auto"/>
          </w:tcPr>
          <w:p w14:paraId="69A98AD6" w14:textId="028B3C77" w:rsidR="005D4DC9" w:rsidRPr="00347B82" w:rsidRDefault="00347B82" w:rsidP="00347B82">
            <w:pPr>
              <w:pStyle w:val="ListBullet"/>
              <w:numPr>
                <w:ilvl w:val="0"/>
                <w:numId w:val="0"/>
              </w:numPr>
              <w:cnfStyle w:val="000000000000" w:firstRow="0" w:lastRow="0" w:firstColumn="0" w:lastColumn="0" w:oddVBand="0" w:evenVBand="0" w:oddHBand="0" w:evenHBand="0" w:firstRowFirstColumn="0" w:firstRowLastColumn="0" w:lastRowFirstColumn="0" w:lastRowLastColumn="0"/>
              <w:rPr>
                <w:i w:val="0"/>
                <w:iCs/>
                <w:sz w:val="20"/>
                <w:szCs w:val="20"/>
              </w:rPr>
            </w:pPr>
            <w:r w:rsidRPr="00347B82">
              <w:rPr>
                <w:i w:val="0"/>
                <w:iCs/>
                <w:sz w:val="20"/>
                <w:szCs w:val="20"/>
              </w:rPr>
              <w:t xml:space="preserve">Early-warning and resource-allocation systems should weight monitoring effort toward the regions and depth bands identified here — shallow, high-magnitude zones such as Russia, Alaska, Indonesia, Turkey, and the Philippines — since these combine high seismic-score (frequency × magnitude) with elevated tsunami risk. The SQL query bank and </w:t>
            </w:r>
            <w:proofErr w:type="spellStart"/>
            <w:r w:rsidRPr="00347B82">
              <w:rPr>
                <w:i w:val="0"/>
                <w:iCs/>
                <w:sz w:val="20"/>
                <w:szCs w:val="20"/>
              </w:rPr>
              <w:t>Streamlit</w:t>
            </w:r>
            <w:proofErr w:type="spellEnd"/>
            <w:r w:rsidRPr="00347B82">
              <w:rPr>
                <w:i w:val="0"/>
                <w:iCs/>
                <w:sz w:val="20"/>
                <w:szCs w:val="20"/>
              </w:rPr>
              <w:t xml:space="preserve"> dashboard were built as reusable, parameterized tools (rather than one-off notebook cells) precisely so that disaster-response or insurance-risk teams can refresh the underlying data on a schedule and re-run the same 20+ analyses without rewriting logic.</w:t>
            </w:r>
          </w:p>
        </w:tc>
      </w:tr>
    </w:tbl>
    <w:p w14:paraId="559A8D87" w14:textId="77777777" w:rsidR="0040390C" w:rsidRDefault="0040390C" w:rsidP="0040390C">
      <w:pPr>
        <w:pStyle w:val="Heading1"/>
        <w:pBdr>
          <w:bottom w:val="single" w:sz="8" w:space="4" w:color="1F4E5C"/>
        </w:pBdr>
        <w:spacing w:before="360" w:after="160"/>
      </w:pPr>
      <w:r>
        <w:rPr>
          <w:color w:val="1F4E5C"/>
          <w:szCs w:val="28"/>
        </w:rPr>
        <w:t>Appendix A — Pipeline &amp; Tooling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40390C" w14:paraId="6065F314" w14:textId="77777777" w:rsidTr="002111F6">
        <w:tblPrEx>
          <w:tblCellMar>
            <w:top w:w="0" w:type="dxa"/>
            <w:bottom w:w="0" w:type="dxa"/>
          </w:tblCellMar>
        </w:tblPrEx>
        <w:trPr>
          <w:tblHeader/>
        </w:trPr>
        <w:tc>
          <w:tcPr>
            <w:tcW w:w="3000" w:type="dxa"/>
            <w:shd w:val="clear" w:color="auto" w:fill="1F4E5C"/>
          </w:tcPr>
          <w:p w14:paraId="25345A79" w14:textId="77777777" w:rsidR="0040390C" w:rsidRDefault="0040390C" w:rsidP="002111F6">
            <w:r>
              <w:rPr>
                <w:b/>
                <w:bCs/>
                <w:color w:val="FFFFFF"/>
                <w:szCs w:val="20"/>
              </w:rPr>
              <w:t>Stage</w:t>
            </w:r>
          </w:p>
        </w:tc>
        <w:tc>
          <w:tcPr>
            <w:tcW w:w="3000" w:type="dxa"/>
            <w:shd w:val="clear" w:color="auto" w:fill="1F4E5C"/>
          </w:tcPr>
          <w:p w14:paraId="647F930B" w14:textId="77777777" w:rsidR="0040390C" w:rsidRDefault="0040390C" w:rsidP="002111F6">
            <w:r>
              <w:rPr>
                <w:b/>
                <w:bCs/>
                <w:color w:val="FFFFFF"/>
                <w:szCs w:val="20"/>
              </w:rPr>
              <w:t>Tool / Technology</w:t>
            </w:r>
          </w:p>
        </w:tc>
        <w:tc>
          <w:tcPr>
            <w:tcW w:w="3000" w:type="dxa"/>
            <w:shd w:val="clear" w:color="auto" w:fill="1F4E5C"/>
          </w:tcPr>
          <w:p w14:paraId="0D390AF4" w14:textId="77777777" w:rsidR="0040390C" w:rsidRDefault="0040390C" w:rsidP="002111F6">
            <w:r>
              <w:rPr>
                <w:b/>
                <w:bCs/>
                <w:color w:val="FFFFFF"/>
                <w:szCs w:val="20"/>
              </w:rPr>
              <w:t>Purpose</w:t>
            </w:r>
          </w:p>
        </w:tc>
      </w:tr>
      <w:tr w:rsidR="0040390C" w14:paraId="708CCA06" w14:textId="77777777" w:rsidTr="002111F6">
        <w:tblPrEx>
          <w:tblCellMar>
            <w:top w:w="0" w:type="dxa"/>
            <w:bottom w:w="0" w:type="dxa"/>
          </w:tblCellMar>
        </w:tblPrEx>
        <w:tc>
          <w:tcPr>
            <w:tcW w:w="3000" w:type="dxa"/>
            <w:shd w:val="clear" w:color="auto" w:fill="FFFFFF"/>
          </w:tcPr>
          <w:p w14:paraId="422B2832" w14:textId="77777777" w:rsidR="0040390C" w:rsidRDefault="0040390C" w:rsidP="002111F6">
            <w:r>
              <w:rPr>
                <w:szCs w:val="20"/>
              </w:rPr>
              <w:t>Extract</w:t>
            </w:r>
          </w:p>
        </w:tc>
        <w:tc>
          <w:tcPr>
            <w:tcW w:w="3000" w:type="dxa"/>
            <w:shd w:val="clear" w:color="auto" w:fill="FFFFFF"/>
          </w:tcPr>
          <w:p w14:paraId="0CB1EF84" w14:textId="77777777" w:rsidR="0040390C" w:rsidRDefault="0040390C" w:rsidP="002111F6">
            <w:r>
              <w:rPr>
                <w:szCs w:val="20"/>
              </w:rPr>
              <w:t>USGS FDSN Event API + requests</w:t>
            </w:r>
          </w:p>
        </w:tc>
        <w:tc>
          <w:tcPr>
            <w:tcW w:w="3000" w:type="dxa"/>
            <w:shd w:val="clear" w:color="auto" w:fill="FFFFFF"/>
          </w:tcPr>
          <w:p w14:paraId="213E5D44" w14:textId="77777777" w:rsidR="0040390C" w:rsidRDefault="0040390C" w:rsidP="002111F6">
            <w:r>
              <w:rPr>
                <w:szCs w:val="20"/>
              </w:rPr>
              <w:t xml:space="preserve">Pull raw </w:t>
            </w:r>
            <w:proofErr w:type="spellStart"/>
            <w:r>
              <w:rPr>
                <w:szCs w:val="20"/>
              </w:rPr>
              <w:t>GeoJSON</w:t>
            </w:r>
            <w:proofErr w:type="spellEnd"/>
            <w:r>
              <w:rPr>
                <w:szCs w:val="20"/>
              </w:rPr>
              <w:t xml:space="preserve"> earthquake records, 2021–2026</w:t>
            </w:r>
          </w:p>
        </w:tc>
      </w:tr>
      <w:tr w:rsidR="0040390C" w14:paraId="0FC58236" w14:textId="77777777" w:rsidTr="002111F6">
        <w:tblPrEx>
          <w:tblCellMar>
            <w:top w:w="0" w:type="dxa"/>
            <w:bottom w:w="0" w:type="dxa"/>
          </w:tblCellMar>
        </w:tblPrEx>
        <w:tc>
          <w:tcPr>
            <w:tcW w:w="3000" w:type="dxa"/>
            <w:shd w:val="clear" w:color="auto" w:fill="EAF1F2"/>
          </w:tcPr>
          <w:p w14:paraId="642F3D97" w14:textId="77777777" w:rsidR="0040390C" w:rsidRDefault="0040390C" w:rsidP="002111F6">
            <w:r>
              <w:rPr>
                <w:szCs w:val="20"/>
              </w:rPr>
              <w:t>Transform</w:t>
            </w:r>
          </w:p>
        </w:tc>
        <w:tc>
          <w:tcPr>
            <w:tcW w:w="3000" w:type="dxa"/>
            <w:shd w:val="clear" w:color="auto" w:fill="EAF1F2"/>
          </w:tcPr>
          <w:p w14:paraId="035ABBFA" w14:textId="77777777" w:rsidR="0040390C" w:rsidRDefault="0040390C" w:rsidP="002111F6">
            <w:r>
              <w:rPr>
                <w:szCs w:val="20"/>
              </w:rPr>
              <w:t xml:space="preserve">pandas, </w:t>
            </w:r>
            <w:proofErr w:type="spellStart"/>
            <w:r>
              <w:rPr>
                <w:szCs w:val="20"/>
              </w:rPr>
              <w:t>numpy</w:t>
            </w:r>
            <w:proofErr w:type="spellEnd"/>
            <w:r>
              <w:rPr>
                <w:szCs w:val="20"/>
              </w:rPr>
              <w:t>, re</w:t>
            </w:r>
          </w:p>
        </w:tc>
        <w:tc>
          <w:tcPr>
            <w:tcW w:w="3000" w:type="dxa"/>
            <w:shd w:val="clear" w:color="auto" w:fill="EAF1F2"/>
          </w:tcPr>
          <w:p w14:paraId="4AEA0B6F" w14:textId="77777777" w:rsidR="0040390C" w:rsidRDefault="0040390C" w:rsidP="002111F6">
            <w:r>
              <w:rPr>
                <w:szCs w:val="20"/>
              </w:rPr>
              <w:t>Clean text/numeric fields, impute missing values, derive features</w:t>
            </w:r>
          </w:p>
        </w:tc>
      </w:tr>
      <w:tr w:rsidR="0040390C" w14:paraId="4E6AD6AC" w14:textId="77777777" w:rsidTr="002111F6">
        <w:tblPrEx>
          <w:tblCellMar>
            <w:top w:w="0" w:type="dxa"/>
            <w:bottom w:w="0" w:type="dxa"/>
          </w:tblCellMar>
        </w:tblPrEx>
        <w:tc>
          <w:tcPr>
            <w:tcW w:w="3000" w:type="dxa"/>
            <w:shd w:val="clear" w:color="auto" w:fill="FFFFFF"/>
          </w:tcPr>
          <w:p w14:paraId="2720FFC6" w14:textId="77777777" w:rsidR="0040390C" w:rsidRDefault="0040390C" w:rsidP="002111F6">
            <w:r>
              <w:rPr>
                <w:szCs w:val="20"/>
              </w:rPr>
              <w:t>Load</w:t>
            </w:r>
          </w:p>
        </w:tc>
        <w:tc>
          <w:tcPr>
            <w:tcW w:w="3000" w:type="dxa"/>
            <w:shd w:val="clear" w:color="auto" w:fill="FFFFFF"/>
          </w:tcPr>
          <w:p w14:paraId="38012493" w14:textId="77777777" w:rsidR="0040390C" w:rsidRDefault="0040390C" w:rsidP="002111F6">
            <w:proofErr w:type="spellStart"/>
            <w:r>
              <w:rPr>
                <w:szCs w:val="20"/>
              </w:rPr>
              <w:t>mysql</w:t>
            </w:r>
            <w:proofErr w:type="spellEnd"/>
            <w:r>
              <w:rPr>
                <w:szCs w:val="20"/>
              </w:rPr>
              <w:t>-connector-python</w:t>
            </w:r>
          </w:p>
        </w:tc>
        <w:tc>
          <w:tcPr>
            <w:tcW w:w="3000" w:type="dxa"/>
            <w:shd w:val="clear" w:color="auto" w:fill="FFFFFF"/>
          </w:tcPr>
          <w:p w14:paraId="1EE4E67C" w14:textId="77777777" w:rsidR="0040390C" w:rsidRDefault="0040390C" w:rsidP="002111F6">
            <w:r>
              <w:rPr>
                <w:szCs w:val="20"/>
              </w:rPr>
              <w:t xml:space="preserve">Bulk insert into the </w:t>
            </w:r>
            <w:proofErr w:type="spellStart"/>
            <w:r>
              <w:rPr>
                <w:szCs w:val="20"/>
              </w:rPr>
              <w:t>earthquake_data</w:t>
            </w:r>
            <w:proofErr w:type="spellEnd"/>
            <w:r>
              <w:rPr>
                <w:szCs w:val="20"/>
              </w:rPr>
              <w:t xml:space="preserve"> MySQL table</w:t>
            </w:r>
          </w:p>
        </w:tc>
      </w:tr>
      <w:tr w:rsidR="0040390C" w14:paraId="52E1EAB4" w14:textId="77777777" w:rsidTr="002111F6">
        <w:tblPrEx>
          <w:tblCellMar>
            <w:top w:w="0" w:type="dxa"/>
            <w:bottom w:w="0" w:type="dxa"/>
          </w:tblCellMar>
        </w:tblPrEx>
        <w:tc>
          <w:tcPr>
            <w:tcW w:w="3000" w:type="dxa"/>
            <w:shd w:val="clear" w:color="auto" w:fill="EAF1F2"/>
          </w:tcPr>
          <w:p w14:paraId="73BA6417" w14:textId="77777777" w:rsidR="0040390C" w:rsidRDefault="0040390C" w:rsidP="002111F6">
            <w:r>
              <w:rPr>
                <w:szCs w:val="20"/>
              </w:rPr>
              <w:t>Analyze</w:t>
            </w:r>
          </w:p>
        </w:tc>
        <w:tc>
          <w:tcPr>
            <w:tcW w:w="3000" w:type="dxa"/>
            <w:shd w:val="clear" w:color="auto" w:fill="EAF1F2"/>
          </w:tcPr>
          <w:p w14:paraId="509EBDDE" w14:textId="77777777" w:rsidR="0040390C" w:rsidRDefault="0040390C" w:rsidP="002111F6">
            <w:r>
              <w:rPr>
                <w:szCs w:val="20"/>
              </w:rPr>
              <w:t>SQL (aggregation, window functions)</w:t>
            </w:r>
          </w:p>
        </w:tc>
        <w:tc>
          <w:tcPr>
            <w:tcW w:w="3000" w:type="dxa"/>
            <w:shd w:val="clear" w:color="auto" w:fill="EAF1F2"/>
          </w:tcPr>
          <w:p w14:paraId="74E6BCB2" w14:textId="77777777" w:rsidR="0040390C" w:rsidRDefault="0040390C" w:rsidP="002111F6">
            <w:r>
              <w:rPr>
                <w:szCs w:val="20"/>
              </w:rPr>
              <w:t>20+ business questions on frequency, magnitude, depth, geography</w:t>
            </w:r>
          </w:p>
        </w:tc>
      </w:tr>
      <w:tr w:rsidR="0040390C" w14:paraId="328B6D9B" w14:textId="77777777" w:rsidTr="002111F6">
        <w:tblPrEx>
          <w:tblCellMar>
            <w:top w:w="0" w:type="dxa"/>
            <w:bottom w:w="0" w:type="dxa"/>
          </w:tblCellMar>
        </w:tblPrEx>
        <w:tc>
          <w:tcPr>
            <w:tcW w:w="3000" w:type="dxa"/>
            <w:shd w:val="clear" w:color="auto" w:fill="FFFFFF"/>
          </w:tcPr>
          <w:p w14:paraId="3FF5E6EA" w14:textId="77777777" w:rsidR="0040390C" w:rsidRDefault="0040390C" w:rsidP="002111F6">
            <w:r>
              <w:rPr>
                <w:szCs w:val="20"/>
              </w:rPr>
              <w:t>Present</w:t>
            </w:r>
          </w:p>
        </w:tc>
        <w:tc>
          <w:tcPr>
            <w:tcW w:w="3000" w:type="dxa"/>
            <w:shd w:val="clear" w:color="auto" w:fill="FFFFFF"/>
          </w:tcPr>
          <w:p w14:paraId="57A86B95" w14:textId="77777777" w:rsidR="0040390C" w:rsidRDefault="0040390C" w:rsidP="002111F6">
            <w:proofErr w:type="spellStart"/>
            <w:r>
              <w:rPr>
                <w:szCs w:val="20"/>
              </w:rPr>
              <w:t>Streamlit</w:t>
            </w:r>
            <w:proofErr w:type="spellEnd"/>
            <w:r>
              <w:rPr>
                <w:szCs w:val="20"/>
              </w:rPr>
              <w:t xml:space="preserve"> + pandas</w:t>
            </w:r>
          </w:p>
        </w:tc>
        <w:tc>
          <w:tcPr>
            <w:tcW w:w="3000" w:type="dxa"/>
            <w:shd w:val="clear" w:color="auto" w:fill="FFFFFF"/>
          </w:tcPr>
          <w:p w14:paraId="73342564" w14:textId="77777777" w:rsidR="0040390C" w:rsidRDefault="0040390C" w:rsidP="002111F6">
            <w:r>
              <w:rPr>
                <w:szCs w:val="20"/>
              </w:rPr>
              <w:t>Interactive dashboard with query picker, SQL viewer, and charts</w:t>
            </w:r>
          </w:p>
        </w:tc>
      </w:tr>
    </w:tbl>
    <w:p w14:paraId="29F8ABF3" w14:textId="77777777" w:rsidR="0040390C" w:rsidRDefault="0040390C" w:rsidP="0040390C">
      <w:pPr>
        <w:spacing w:after="160"/>
      </w:pPr>
    </w:p>
    <w:p w14:paraId="43E95E8C" w14:textId="77777777" w:rsidR="0040390C" w:rsidRDefault="0040390C" w:rsidP="0040390C">
      <w:pPr>
        <w:pStyle w:val="Heading1"/>
        <w:pBdr>
          <w:bottom w:val="single" w:sz="8" w:space="4" w:color="1F4E5C"/>
        </w:pBdr>
        <w:spacing w:before="360" w:after="160"/>
      </w:pPr>
      <w:r>
        <w:rPr>
          <w:color w:val="1F4E5C"/>
          <w:szCs w:val="28"/>
        </w:rPr>
        <w:t>Appendix B — Selected Query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0390C" w14:paraId="4FB67ED1" w14:textId="77777777" w:rsidTr="002111F6">
        <w:tblPrEx>
          <w:tblCellMar>
            <w:top w:w="0" w:type="dxa"/>
            <w:bottom w:w="0" w:type="dxa"/>
          </w:tblCellMar>
        </w:tblPrEx>
        <w:trPr>
          <w:tblHeader/>
        </w:trPr>
        <w:tc>
          <w:tcPr>
            <w:tcW w:w="4500" w:type="dxa"/>
            <w:shd w:val="clear" w:color="auto" w:fill="1F4E5C"/>
          </w:tcPr>
          <w:p w14:paraId="6ADCEF75" w14:textId="77777777" w:rsidR="0040390C" w:rsidRDefault="0040390C" w:rsidP="002111F6">
            <w:r>
              <w:rPr>
                <w:b/>
                <w:bCs/>
                <w:color w:val="FFFFFF"/>
                <w:szCs w:val="20"/>
              </w:rPr>
              <w:t>Question</w:t>
            </w:r>
          </w:p>
        </w:tc>
        <w:tc>
          <w:tcPr>
            <w:tcW w:w="4500" w:type="dxa"/>
            <w:shd w:val="clear" w:color="auto" w:fill="1F4E5C"/>
          </w:tcPr>
          <w:p w14:paraId="38DB4A19" w14:textId="77777777" w:rsidR="0040390C" w:rsidRDefault="0040390C" w:rsidP="002111F6">
            <w:r>
              <w:rPr>
                <w:b/>
                <w:bCs/>
                <w:color w:val="FFFFFF"/>
                <w:szCs w:val="20"/>
              </w:rPr>
              <w:t>Result</w:t>
            </w:r>
          </w:p>
        </w:tc>
      </w:tr>
      <w:tr w:rsidR="0040390C" w14:paraId="00CA4CC2" w14:textId="77777777" w:rsidTr="002111F6">
        <w:tblPrEx>
          <w:tblCellMar>
            <w:top w:w="0" w:type="dxa"/>
            <w:bottom w:w="0" w:type="dxa"/>
          </w:tblCellMar>
        </w:tblPrEx>
        <w:tc>
          <w:tcPr>
            <w:tcW w:w="4500" w:type="dxa"/>
            <w:shd w:val="clear" w:color="auto" w:fill="FFFFFF"/>
          </w:tcPr>
          <w:p w14:paraId="272BFAAF" w14:textId="77777777" w:rsidR="0040390C" w:rsidRDefault="0040390C" w:rsidP="002111F6">
            <w:r>
              <w:rPr>
                <w:szCs w:val="20"/>
              </w:rPr>
              <w:t>Most active year</w:t>
            </w:r>
          </w:p>
        </w:tc>
        <w:tc>
          <w:tcPr>
            <w:tcW w:w="4500" w:type="dxa"/>
            <w:shd w:val="clear" w:color="auto" w:fill="FFFFFF"/>
          </w:tcPr>
          <w:p w14:paraId="5D3CCE7C" w14:textId="77777777" w:rsidR="0040390C" w:rsidRDefault="0040390C" w:rsidP="002111F6">
            <w:r>
              <w:rPr>
                <w:szCs w:val="20"/>
              </w:rPr>
              <w:t>2025 — 22,819 earthquakes</w:t>
            </w:r>
          </w:p>
        </w:tc>
      </w:tr>
      <w:tr w:rsidR="0040390C" w14:paraId="2557DCDD" w14:textId="77777777" w:rsidTr="002111F6">
        <w:tblPrEx>
          <w:tblCellMar>
            <w:top w:w="0" w:type="dxa"/>
            <w:bottom w:w="0" w:type="dxa"/>
          </w:tblCellMar>
        </w:tblPrEx>
        <w:tc>
          <w:tcPr>
            <w:tcW w:w="4500" w:type="dxa"/>
            <w:shd w:val="clear" w:color="auto" w:fill="EAF1F2"/>
          </w:tcPr>
          <w:p w14:paraId="6BEF5C8E" w14:textId="77777777" w:rsidR="0040390C" w:rsidRDefault="0040390C" w:rsidP="002111F6">
            <w:r>
              <w:rPr>
                <w:szCs w:val="20"/>
              </w:rPr>
              <w:t>Most active month</w:t>
            </w:r>
          </w:p>
        </w:tc>
        <w:tc>
          <w:tcPr>
            <w:tcW w:w="4500" w:type="dxa"/>
            <w:shd w:val="clear" w:color="auto" w:fill="EAF1F2"/>
          </w:tcPr>
          <w:p w14:paraId="58BEA8A0" w14:textId="77777777" w:rsidR="0040390C" w:rsidRDefault="0040390C" w:rsidP="002111F6">
            <w:r>
              <w:rPr>
                <w:szCs w:val="20"/>
              </w:rPr>
              <w:t>July — 11,791 earthquakes</w:t>
            </w:r>
          </w:p>
        </w:tc>
      </w:tr>
      <w:tr w:rsidR="0040390C" w14:paraId="3CE641DC" w14:textId="77777777" w:rsidTr="002111F6">
        <w:tblPrEx>
          <w:tblCellMar>
            <w:top w:w="0" w:type="dxa"/>
            <w:bottom w:w="0" w:type="dxa"/>
          </w:tblCellMar>
        </w:tblPrEx>
        <w:tc>
          <w:tcPr>
            <w:tcW w:w="4500" w:type="dxa"/>
            <w:shd w:val="clear" w:color="auto" w:fill="FFFFFF"/>
          </w:tcPr>
          <w:p w14:paraId="36C0E2DA" w14:textId="77777777" w:rsidR="0040390C" w:rsidRDefault="0040390C" w:rsidP="002111F6">
            <w:r>
              <w:rPr>
                <w:szCs w:val="20"/>
              </w:rPr>
              <w:t>Most active day of week</w:t>
            </w:r>
          </w:p>
        </w:tc>
        <w:tc>
          <w:tcPr>
            <w:tcW w:w="4500" w:type="dxa"/>
            <w:shd w:val="clear" w:color="auto" w:fill="FFFFFF"/>
          </w:tcPr>
          <w:p w14:paraId="20CB937F" w14:textId="77777777" w:rsidR="0040390C" w:rsidRDefault="0040390C" w:rsidP="002111F6">
            <w:r>
              <w:rPr>
                <w:szCs w:val="20"/>
              </w:rPr>
              <w:t>Friday — 17,252 earthquakes</w:t>
            </w:r>
          </w:p>
        </w:tc>
      </w:tr>
      <w:tr w:rsidR="0040390C" w14:paraId="146C3539" w14:textId="77777777" w:rsidTr="002111F6">
        <w:tblPrEx>
          <w:tblCellMar>
            <w:top w:w="0" w:type="dxa"/>
            <w:bottom w:w="0" w:type="dxa"/>
          </w:tblCellMar>
        </w:tblPrEx>
        <w:tc>
          <w:tcPr>
            <w:tcW w:w="4500" w:type="dxa"/>
            <w:shd w:val="clear" w:color="auto" w:fill="EAF1F2"/>
          </w:tcPr>
          <w:p w14:paraId="68795CC7" w14:textId="77777777" w:rsidR="0040390C" w:rsidRDefault="0040390C" w:rsidP="002111F6">
            <w:r>
              <w:rPr>
                <w:szCs w:val="20"/>
              </w:rPr>
              <w:t>Strongest earthquake</w:t>
            </w:r>
          </w:p>
        </w:tc>
        <w:tc>
          <w:tcPr>
            <w:tcW w:w="4500" w:type="dxa"/>
            <w:shd w:val="clear" w:color="auto" w:fill="EAF1F2"/>
          </w:tcPr>
          <w:p w14:paraId="12E91F8E" w14:textId="77777777" w:rsidR="0040390C" w:rsidRDefault="0040390C" w:rsidP="002111F6">
            <w:r>
              <w:rPr>
                <w:szCs w:val="20"/>
              </w:rPr>
              <w:t>Russia — magnitude 8.8</w:t>
            </w:r>
          </w:p>
        </w:tc>
      </w:tr>
      <w:tr w:rsidR="0040390C" w14:paraId="2EC9F9FD" w14:textId="77777777" w:rsidTr="002111F6">
        <w:tblPrEx>
          <w:tblCellMar>
            <w:top w:w="0" w:type="dxa"/>
            <w:bottom w:w="0" w:type="dxa"/>
          </w:tblCellMar>
        </w:tblPrEx>
        <w:tc>
          <w:tcPr>
            <w:tcW w:w="4500" w:type="dxa"/>
            <w:shd w:val="clear" w:color="auto" w:fill="FFFFFF"/>
          </w:tcPr>
          <w:p w14:paraId="16428CBF" w14:textId="77777777" w:rsidR="0040390C" w:rsidRDefault="0040390C" w:rsidP="002111F6">
            <w:r>
              <w:rPr>
                <w:szCs w:val="20"/>
              </w:rPr>
              <w:t>Deepest earthquake</w:t>
            </w:r>
          </w:p>
        </w:tc>
        <w:tc>
          <w:tcPr>
            <w:tcW w:w="4500" w:type="dxa"/>
            <w:shd w:val="clear" w:color="auto" w:fill="FFFFFF"/>
          </w:tcPr>
          <w:p w14:paraId="121E4857" w14:textId="77777777" w:rsidR="0040390C" w:rsidRDefault="0040390C" w:rsidP="002111F6">
            <w:r>
              <w:rPr>
                <w:szCs w:val="20"/>
              </w:rPr>
              <w:t>683.6 km depth</w:t>
            </w:r>
          </w:p>
        </w:tc>
      </w:tr>
      <w:tr w:rsidR="0040390C" w14:paraId="5F918595" w14:textId="77777777" w:rsidTr="002111F6">
        <w:tblPrEx>
          <w:tblCellMar>
            <w:top w:w="0" w:type="dxa"/>
            <w:bottom w:w="0" w:type="dxa"/>
          </w:tblCellMar>
        </w:tblPrEx>
        <w:tc>
          <w:tcPr>
            <w:tcW w:w="4500" w:type="dxa"/>
            <w:shd w:val="clear" w:color="auto" w:fill="EAF1F2"/>
          </w:tcPr>
          <w:p w14:paraId="15882439" w14:textId="77777777" w:rsidR="0040390C" w:rsidRDefault="0040390C" w:rsidP="002111F6">
            <w:r>
              <w:rPr>
                <w:szCs w:val="20"/>
              </w:rPr>
              <w:t>Reviewed vs. automatic events</w:t>
            </w:r>
          </w:p>
        </w:tc>
        <w:tc>
          <w:tcPr>
            <w:tcW w:w="4500" w:type="dxa"/>
            <w:shd w:val="clear" w:color="auto" w:fill="EAF1F2"/>
          </w:tcPr>
          <w:p w14:paraId="22E252DC" w14:textId="77777777" w:rsidR="0040390C" w:rsidRDefault="0040390C" w:rsidP="002111F6">
            <w:r>
              <w:rPr>
                <w:szCs w:val="20"/>
              </w:rPr>
              <w:t>119,183 reviewed / 164 automatic</w:t>
            </w:r>
          </w:p>
        </w:tc>
      </w:tr>
      <w:tr w:rsidR="0040390C" w14:paraId="2B31E277" w14:textId="77777777" w:rsidTr="002111F6">
        <w:tblPrEx>
          <w:tblCellMar>
            <w:top w:w="0" w:type="dxa"/>
            <w:bottom w:w="0" w:type="dxa"/>
          </w:tblCellMar>
        </w:tblPrEx>
        <w:tc>
          <w:tcPr>
            <w:tcW w:w="4500" w:type="dxa"/>
            <w:shd w:val="clear" w:color="auto" w:fill="FFFFFF"/>
          </w:tcPr>
          <w:p w14:paraId="6CBE7FCA" w14:textId="77777777" w:rsidR="0040390C" w:rsidRDefault="0040390C" w:rsidP="002111F6">
            <w:r>
              <w:rPr>
                <w:szCs w:val="20"/>
              </w:rPr>
              <w:t>Tsunami vs. non-tsunami avg. magnitude</w:t>
            </w:r>
          </w:p>
        </w:tc>
        <w:tc>
          <w:tcPr>
            <w:tcW w:w="4500" w:type="dxa"/>
            <w:shd w:val="clear" w:color="auto" w:fill="FFFFFF"/>
          </w:tcPr>
          <w:p w14:paraId="63396057" w14:textId="77777777" w:rsidR="0040390C" w:rsidRDefault="0040390C" w:rsidP="002111F6">
            <w:r>
              <w:rPr>
                <w:szCs w:val="20"/>
              </w:rPr>
              <w:t>5.42 vs. 4.25 (Δ 1.17)</w:t>
            </w:r>
          </w:p>
        </w:tc>
      </w:tr>
      <w:tr w:rsidR="0040390C" w14:paraId="5336D0C5" w14:textId="77777777" w:rsidTr="002111F6">
        <w:tblPrEx>
          <w:tblCellMar>
            <w:top w:w="0" w:type="dxa"/>
            <w:bottom w:w="0" w:type="dxa"/>
          </w:tblCellMar>
        </w:tblPrEx>
        <w:tc>
          <w:tcPr>
            <w:tcW w:w="4500" w:type="dxa"/>
            <w:shd w:val="clear" w:color="auto" w:fill="EAF1F2"/>
          </w:tcPr>
          <w:p w14:paraId="33C9C88C" w14:textId="77777777" w:rsidR="0040390C" w:rsidRDefault="0040390C" w:rsidP="002111F6">
            <w:r>
              <w:rPr>
                <w:szCs w:val="20"/>
              </w:rPr>
              <w:lastRenderedPageBreak/>
              <w:t>Top seismic-score region</w:t>
            </w:r>
          </w:p>
        </w:tc>
        <w:tc>
          <w:tcPr>
            <w:tcW w:w="4500" w:type="dxa"/>
            <w:shd w:val="clear" w:color="auto" w:fill="EAF1F2"/>
          </w:tcPr>
          <w:p w14:paraId="5F1F6A1D" w14:textId="77777777" w:rsidR="0040390C" w:rsidRDefault="0040390C" w:rsidP="002111F6">
            <w:r>
              <w:rPr>
                <w:szCs w:val="20"/>
              </w:rPr>
              <w:t>Unknown-labeled cluster, then Alaska, then Indonesia</w:t>
            </w:r>
          </w:p>
        </w:tc>
      </w:tr>
    </w:tbl>
    <w:p w14:paraId="78F40787" w14:textId="77777777" w:rsidR="0040390C" w:rsidRDefault="0040390C" w:rsidP="0040390C">
      <w:pPr>
        <w:spacing w:before="300"/>
      </w:pPr>
      <w:r>
        <w:rPr>
          <w:i/>
          <w:iCs/>
          <w:color w:val="555555"/>
          <w:szCs w:val="20"/>
        </w:rPr>
        <w:t>Note: Figures marked “Unknown” reflect earthquakes whose USGS “place” field could not be parsed into a country name (e.g., open-ocean or region-only descriptions) and represent a data-cleaning limitation rather than a real location.</w:t>
      </w:r>
    </w:p>
    <w:sectPr w:rsidR="0040390C" w:rsidSect="00DD04BF">
      <w:footerReference w:type="default" r:id="rId11"/>
      <w:pgSz w:w="12240" w:h="15840" w:code="1"/>
      <w:pgMar w:top="1440" w:right="1440" w:bottom="72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4EB5C" w14:textId="77777777" w:rsidR="00135E2C" w:rsidRDefault="00135E2C">
      <w:pPr>
        <w:spacing w:after="0" w:line="240" w:lineRule="auto"/>
      </w:pPr>
      <w:r>
        <w:separator/>
      </w:r>
    </w:p>
  </w:endnote>
  <w:endnote w:type="continuationSeparator" w:id="0">
    <w:p w14:paraId="3A44BC59" w14:textId="77777777" w:rsidR="00135E2C" w:rsidRDefault="00135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47A03" w14:textId="77777777" w:rsidR="001E042A" w:rsidRDefault="001E042A" w:rsidP="001E042A">
    <w:pPr>
      <w:pStyle w:val="Footer"/>
    </w:pPr>
    <w:r w:rsidRPr="001E042A">
      <w:fldChar w:fldCharType="begin"/>
    </w:r>
    <w:r w:rsidRPr="001E042A">
      <w:instrText xml:space="preserve"> PAGE   \* MERGEFORMAT </w:instrText>
    </w:r>
    <w:r w:rsidRPr="001E042A">
      <w:fldChar w:fldCharType="separate"/>
    </w:r>
    <w:r w:rsidR="00D57E3E">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13608" w14:textId="77777777" w:rsidR="00135E2C" w:rsidRDefault="00135E2C">
      <w:pPr>
        <w:spacing w:after="0" w:line="240" w:lineRule="auto"/>
      </w:pPr>
      <w:r>
        <w:separator/>
      </w:r>
    </w:p>
  </w:footnote>
  <w:footnote w:type="continuationSeparator" w:id="0">
    <w:p w14:paraId="6B1D9AA1" w14:textId="77777777" w:rsidR="00135E2C" w:rsidRDefault="00135E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9C8A5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7D37C1"/>
    <w:multiLevelType w:val="multilevel"/>
    <w:tmpl w:val="634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92B49"/>
    <w:multiLevelType w:val="multilevel"/>
    <w:tmpl w:val="88CC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032D41" w:themeColor="accent1" w:themeShade="BF"/>
      </w:rPr>
    </w:lvl>
    <w:lvl w:ilvl="1">
      <w:start w:val="1"/>
      <w:numFmt w:val="decimal"/>
      <w:lvlText w:val="%2."/>
      <w:lvlJc w:val="left"/>
      <w:pPr>
        <w:ind w:left="1440" w:hanging="360"/>
      </w:pPr>
      <w:rPr>
        <w:rFonts w:hint="default"/>
        <w:color w:val="032D41" w:themeColor="accent1" w:themeShade="BF"/>
      </w:rPr>
    </w:lvl>
    <w:lvl w:ilvl="2">
      <w:start w:val="1"/>
      <w:numFmt w:val="decimal"/>
      <w:lvlText w:val="%3."/>
      <w:lvlJc w:val="right"/>
      <w:pPr>
        <w:ind w:left="2160" w:hanging="180"/>
      </w:pPr>
      <w:rPr>
        <w:rFonts w:hint="default"/>
        <w:color w:val="032D41" w:themeColor="accent1" w:themeShade="BF"/>
      </w:rPr>
    </w:lvl>
    <w:lvl w:ilvl="3">
      <w:start w:val="1"/>
      <w:numFmt w:val="decimal"/>
      <w:lvlText w:val="%4."/>
      <w:lvlJc w:val="left"/>
      <w:pPr>
        <w:ind w:left="2880" w:hanging="360"/>
      </w:pPr>
      <w:rPr>
        <w:rFonts w:hint="default"/>
        <w:color w:val="032D41" w:themeColor="accent1" w:themeShade="BF"/>
      </w:rPr>
    </w:lvl>
    <w:lvl w:ilvl="4">
      <w:start w:val="1"/>
      <w:numFmt w:val="decimal"/>
      <w:lvlText w:val="%5."/>
      <w:lvlJc w:val="left"/>
      <w:pPr>
        <w:ind w:left="3600" w:hanging="360"/>
      </w:pPr>
      <w:rPr>
        <w:rFonts w:hint="default"/>
        <w:color w:val="032D41" w:themeColor="accent1" w:themeShade="BF"/>
      </w:rPr>
    </w:lvl>
    <w:lvl w:ilvl="5">
      <w:start w:val="1"/>
      <w:numFmt w:val="decimal"/>
      <w:lvlText w:val="%6."/>
      <w:lvlJc w:val="right"/>
      <w:pPr>
        <w:ind w:left="4320" w:hanging="180"/>
      </w:pPr>
      <w:rPr>
        <w:rFonts w:hint="default"/>
        <w:color w:val="032D41" w:themeColor="accent1" w:themeShade="BF"/>
      </w:rPr>
    </w:lvl>
    <w:lvl w:ilvl="6">
      <w:start w:val="1"/>
      <w:numFmt w:val="decimal"/>
      <w:lvlText w:val="%7."/>
      <w:lvlJc w:val="left"/>
      <w:pPr>
        <w:ind w:left="5040" w:hanging="360"/>
      </w:pPr>
      <w:rPr>
        <w:rFonts w:hint="default"/>
        <w:color w:val="032D41" w:themeColor="accent1" w:themeShade="BF"/>
      </w:rPr>
    </w:lvl>
    <w:lvl w:ilvl="7">
      <w:start w:val="1"/>
      <w:numFmt w:val="decimal"/>
      <w:lvlText w:val="%8."/>
      <w:lvlJc w:val="left"/>
      <w:pPr>
        <w:ind w:left="5760" w:hanging="360"/>
      </w:pPr>
      <w:rPr>
        <w:rFonts w:hint="default"/>
        <w:color w:val="032D41" w:themeColor="accent1" w:themeShade="BF"/>
      </w:rPr>
    </w:lvl>
    <w:lvl w:ilvl="8">
      <w:start w:val="1"/>
      <w:numFmt w:val="decimal"/>
      <w:lvlText w:val="%9."/>
      <w:lvlJc w:val="right"/>
      <w:pPr>
        <w:ind w:left="6480" w:hanging="180"/>
      </w:pPr>
      <w:rPr>
        <w:rFonts w:hint="default"/>
        <w:color w:val="032D41" w:themeColor="accent1" w:themeShade="BF"/>
      </w:rPr>
    </w:lvl>
  </w:abstractNum>
  <w:abstractNum w:abstractNumId="14"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032D41" w:themeColor="accent1" w:themeShade="BF"/>
      </w:rPr>
    </w:lvl>
    <w:lvl w:ilvl="1">
      <w:start w:val="1"/>
      <w:numFmt w:val="bullet"/>
      <w:lvlText w:val="o"/>
      <w:lvlJc w:val="left"/>
      <w:pPr>
        <w:ind w:left="1440" w:hanging="360"/>
      </w:pPr>
      <w:rPr>
        <w:rFonts w:ascii="Courier New" w:hAnsi="Courier New" w:hint="default"/>
        <w:color w:val="032D41" w:themeColor="accent1" w:themeShade="BF"/>
      </w:rPr>
    </w:lvl>
    <w:lvl w:ilvl="2">
      <w:start w:val="1"/>
      <w:numFmt w:val="bullet"/>
      <w:lvlText w:val=""/>
      <w:lvlJc w:val="left"/>
      <w:pPr>
        <w:ind w:left="2160" w:hanging="360"/>
      </w:pPr>
      <w:rPr>
        <w:rFonts w:ascii="Wingdings" w:hAnsi="Wingdings" w:hint="default"/>
        <w:color w:val="032D41" w:themeColor="accent1" w:themeShade="BF"/>
      </w:rPr>
    </w:lvl>
    <w:lvl w:ilvl="3">
      <w:start w:val="1"/>
      <w:numFmt w:val="bullet"/>
      <w:lvlText w:val=""/>
      <w:lvlJc w:val="left"/>
      <w:pPr>
        <w:ind w:left="2880" w:hanging="360"/>
      </w:pPr>
      <w:rPr>
        <w:rFonts w:ascii="Symbol" w:hAnsi="Symbol" w:hint="default"/>
        <w:color w:val="032D41" w:themeColor="accent1" w:themeShade="BF"/>
      </w:rPr>
    </w:lvl>
    <w:lvl w:ilvl="4">
      <w:start w:val="1"/>
      <w:numFmt w:val="bullet"/>
      <w:lvlText w:val="o"/>
      <w:lvlJc w:val="left"/>
      <w:pPr>
        <w:ind w:left="3600" w:hanging="360"/>
      </w:pPr>
      <w:rPr>
        <w:rFonts w:ascii="Courier New" w:hAnsi="Courier New" w:hint="default"/>
        <w:color w:val="032D41" w:themeColor="accent1" w:themeShade="BF"/>
      </w:rPr>
    </w:lvl>
    <w:lvl w:ilvl="5">
      <w:start w:val="1"/>
      <w:numFmt w:val="bullet"/>
      <w:lvlText w:val=""/>
      <w:lvlJc w:val="left"/>
      <w:pPr>
        <w:ind w:left="4320" w:hanging="360"/>
      </w:pPr>
      <w:rPr>
        <w:rFonts w:ascii="Wingdings" w:hAnsi="Wingdings" w:hint="default"/>
        <w:color w:val="032D41" w:themeColor="accent1" w:themeShade="BF"/>
      </w:rPr>
    </w:lvl>
    <w:lvl w:ilvl="6">
      <w:start w:val="1"/>
      <w:numFmt w:val="bullet"/>
      <w:lvlText w:val=""/>
      <w:lvlJc w:val="left"/>
      <w:pPr>
        <w:ind w:left="5040" w:hanging="360"/>
      </w:pPr>
      <w:rPr>
        <w:rFonts w:ascii="Symbol" w:hAnsi="Symbol" w:hint="default"/>
        <w:color w:val="032D41" w:themeColor="accent1" w:themeShade="BF"/>
      </w:rPr>
    </w:lvl>
    <w:lvl w:ilvl="7">
      <w:start w:val="1"/>
      <w:numFmt w:val="bullet"/>
      <w:lvlText w:val="o"/>
      <w:lvlJc w:val="left"/>
      <w:pPr>
        <w:ind w:left="5760" w:hanging="360"/>
      </w:pPr>
      <w:rPr>
        <w:rFonts w:ascii="Courier New" w:hAnsi="Courier New" w:hint="default"/>
        <w:color w:val="032D41" w:themeColor="accent1" w:themeShade="BF"/>
      </w:rPr>
    </w:lvl>
    <w:lvl w:ilvl="8">
      <w:start w:val="1"/>
      <w:numFmt w:val="bullet"/>
      <w:lvlText w:val=""/>
      <w:lvlJc w:val="left"/>
      <w:pPr>
        <w:ind w:left="6480" w:hanging="360"/>
      </w:pPr>
      <w:rPr>
        <w:rFonts w:ascii="Wingdings" w:hAnsi="Wingdings" w:hint="default"/>
        <w:color w:val="032D41" w:themeColor="accent1" w:themeShade="BF"/>
      </w:rPr>
    </w:lvl>
  </w:abstractNum>
  <w:num w:numId="1" w16cid:durableId="363289122">
    <w:abstractNumId w:val="9"/>
  </w:num>
  <w:num w:numId="2" w16cid:durableId="1773436715">
    <w:abstractNumId w:val="14"/>
  </w:num>
  <w:num w:numId="3" w16cid:durableId="394398141">
    <w:abstractNumId w:val="14"/>
    <w:lvlOverride w:ilvl="0">
      <w:startOverride w:val="1"/>
    </w:lvlOverride>
  </w:num>
  <w:num w:numId="4" w16cid:durableId="65955723">
    <w:abstractNumId w:val="10"/>
  </w:num>
  <w:num w:numId="5" w16cid:durableId="900142883">
    <w:abstractNumId w:val="7"/>
  </w:num>
  <w:num w:numId="6" w16cid:durableId="1106651772">
    <w:abstractNumId w:val="6"/>
  </w:num>
  <w:num w:numId="7" w16cid:durableId="1284071850">
    <w:abstractNumId w:val="5"/>
  </w:num>
  <w:num w:numId="8" w16cid:durableId="2023974801">
    <w:abstractNumId w:val="4"/>
  </w:num>
  <w:num w:numId="9" w16cid:durableId="815872695">
    <w:abstractNumId w:val="8"/>
  </w:num>
  <w:num w:numId="10" w16cid:durableId="551623239">
    <w:abstractNumId w:val="3"/>
  </w:num>
  <w:num w:numId="11" w16cid:durableId="1153762191">
    <w:abstractNumId w:val="2"/>
  </w:num>
  <w:num w:numId="12" w16cid:durableId="1139957664">
    <w:abstractNumId w:val="1"/>
  </w:num>
  <w:num w:numId="13" w16cid:durableId="1142621376">
    <w:abstractNumId w:val="0"/>
  </w:num>
  <w:num w:numId="14" w16cid:durableId="8878826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48622">
    <w:abstractNumId w:val="13"/>
  </w:num>
  <w:num w:numId="16" w16cid:durableId="960648868">
    <w:abstractNumId w:val="11"/>
  </w:num>
  <w:num w:numId="17" w16cid:durableId="691148372">
    <w:abstractNumId w:val="12"/>
    <w:lvlOverride w:ilvl="0">
      <w:startOverride w:val="1"/>
    </w:lvlOverride>
  </w:num>
  <w:num w:numId="18" w16cid:durableId="686834830">
    <w:abstractNumId w:val="12"/>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B02"/>
    <w:rsid w:val="00002BA0"/>
    <w:rsid w:val="000232EA"/>
    <w:rsid w:val="00023DA4"/>
    <w:rsid w:val="000277C5"/>
    <w:rsid w:val="00046997"/>
    <w:rsid w:val="0004739A"/>
    <w:rsid w:val="000709D4"/>
    <w:rsid w:val="00070A66"/>
    <w:rsid w:val="00083B37"/>
    <w:rsid w:val="000A0612"/>
    <w:rsid w:val="000B3ABF"/>
    <w:rsid w:val="000B4CCC"/>
    <w:rsid w:val="000E3526"/>
    <w:rsid w:val="000E68B6"/>
    <w:rsid w:val="0010364E"/>
    <w:rsid w:val="001042A8"/>
    <w:rsid w:val="001067A1"/>
    <w:rsid w:val="00121E91"/>
    <w:rsid w:val="00135E2C"/>
    <w:rsid w:val="00175DE0"/>
    <w:rsid w:val="00190C79"/>
    <w:rsid w:val="001A153F"/>
    <w:rsid w:val="001A728E"/>
    <w:rsid w:val="001D3121"/>
    <w:rsid w:val="001E042A"/>
    <w:rsid w:val="00206A9A"/>
    <w:rsid w:val="00225505"/>
    <w:rsid w:val="00233587"/>
    <w:rsid w:val="002A511A"/>
    <w:rsid w:val="002C200F"/>
    <w:rsid w:val="002F0604"/>
    <w:rsid w:val="00325DA6"/>
    <w:rsid w:val="003312ED"/>
    <w:rsid w:val="00347B82"/>
    <w:rsid w:val="00364BB0"/>
    <w:rsid w:val="00385CDF"/>
    <w:rsid w:val="00394A77"/>
    <w:rsid w:val="003A227D"/>
    <w:rsid w:val="004018C1"/>
    <w:rsid w:val="0040390C"/>
    <w:rsid w:val="00446879"/>
    <w:rsid w:val="004727F4"/>
    <w:rsid w:val="0047771A"/>
    <w:rsid w:val="004A0A8D"/>
    <w:rsid w:val="004A3CE2"/>
    <w:rsid w:val="004C5EC7"/>
    <w:rsid w:val="004E0E4E"/>
    <w:rsid w:val="00535D67"/>
    <w:rsid w:val="0056348C"/>
    <w:rsid w:val="00575B92"/>
    <w:rsid w:val="005915B6"/>
    <w:rsid w:val="005C7488"/>
    <w:rsid w:val="005D4DC9"/>
    <w:rsid w:val="005F7999"/>
    <w:rsid w:val="00626EDA"/>
    <w:rsid w:val="0063680F"/>
    <w:rsid w:val="006401F4"/>
    <w:rsid w:val="006756D5"/>
    <w:rsid w:val="006802D1"/>
    <w:rsid w:val="00680E37"/>
    <w:rsid w:val="006C025B"/>
    <w:rsid w:val="006C3A7B"/>
    <w:rsid w:val="006D7FF8"/>
    <w:rsid w:val="00701FEF"/>
    <w:rsid w:val="00704472"/>
    <w:rsid w:val="007301C1"/>
    <w:rsid w:val="00791457"/>
    <w:rsid w:val="007F372E"/>
    <w:rsid w:val="00801102"/>
    <w:rsid w:val="008051CD"/>
    <w:rsid w:val="008471C0"/>
    <w:rsid w:val="0087771F"/>
    <w:rsid w:val="00896240"/>
    <w:rsid w:val="008D5E06"/>
    <w:rsid w:val="008D6D77"/>
    <w:rsid w:val="008E631E"/>
    <w:rsid w:val="00914873"/>
    <w:rsid w:val="00954BFF"/>
    <w:rsid w:val="00963CF3"/>
    <w:rsid w:val="00971F80"/>
    <w:rsid w:val="009923A8"/>
    <w:rsid w:val="009A1CF0"/>
    <w:rsid w:val="009B1731"/>
    <w:rsid w:val="009C0227"/>
    <w:rsid w:val="009C47D4"/>
    <w:rsid w:val="009E2B16"/>
    <w:rsid w:val="009F629A"/>
    <w:rsid w:val="00A34B02"/>
    <w:rsid w:val="00A67AE6"/>
    <w:rsid w:val="00A819F8"/>
    <w:rsid w:val="00AA0568"/>
    <w:rsid w:val="00AA316B"/>
    <w:rsid w:val="00AC59CE"/>
    <w:rsid w:val="00B04D5B"/>
    <w:rsid w:val="00B05004"/>
    <w:rsid w:val="00B27C2B"/>
    <w:rsid w:val="00B62D04"/>
    <w:rsid w:val="00B80D0D"/>
    <w:rsid w:val="00BC1FD2"/>
    <w:rsid w:val="00BD7D71"/>
    <w:rsid w:val="00BE3695"/>
    <w:rsid w:val="00C01E4F"/>
    <w:rsid w:val="00C026B2"/>
    <w:rsid w:val="00C244A1"/>
    <w:rsid w:val="00C305F6"/>
    <w:rsid w:val="00C76CE4"/>
    <w:rsid w:val="00C92C41"/>
    <w:rsid w:val="00C94B82"/>
    <w:rsid w:val="00CA22D1"/>
    <w:rsid w:val="00CA5572"/>
    <w:rsid w:val="00CC74D2"/>
    <w:rsid w:val="00D04747"/>
    <w:rsid w:val="00D212E6"/>
    <w:rsid w:val="00D27A92"/>
    <w:rsid w:val="00D42A38"/>
    <w:rsid w:val="00D50009"/>
    <w:rsid w:val="00D57E3E"/>
    <w:rsid w:val="00D80AC9"/>
    <w:rsid w:val="00DB24CB"/>
    <w:rsid w:val="00DD04BF"/>
    <w:rsid w:val="00DF5013"/>
    <w:rsid w:val="00E218A3"/>
    <w:rsid w:val="00E41C52"/>
    <w:rsid w:val="00E46BE3"/>
    <w:rsid w:val="00E87276"/>
    <w:rsid w:val="00E9640A"/>
    <w:rsid w:val="00ED7DC4"/>
    <w:rsid w:val="00F1586E"/>
    <w:rsid w:val="00F16B15"/>
    <w:rsid w:val="00F26541"/>
    <w:rsid w:val="00F37B71"/>
    <w:rsid w:val="00F40908"/>
    <w:rsid w:val="00F62FD6"/>
    <w:rsid w:val="00F95167"/>
    <w:rsid w:val="00FB06AF"/>
    <w:rsid w:val="00FB0D9C"/>
    <w:rsid w:val="00FB5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C4F96"/>
  <w15:chartTrackingRefBased/>
  <w15:docId w15:val="{B516BC52-D82E-4703-AB15-1893B8509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6B2"/>
    <w:pPr>
      <w:spacing w:after="240"/>
    </w:pPr>
    <w:rPr>
      <w:sz w:val="20"/>
    </w:rPr>
  </w:style>
  <w:style w:type="paragraph" w:styleId="Heading1">
    <w:name w:val="heading 1"/>
    <w:basedOn w:val="Normal"/>
    <w:next w:val="Normal"/>
    <w:link w:val="Heading1Char"/>
    <w:uiPriority w:val="9"/>
    <w:qFormat/>
    <w:rsid w:val="00CA5572"/>
    <w:pPr>
      <w:keepNext/>
      <w:keepLines/>
      <w:spacing w:before="600" w:line="240" w:lineRule="auto"/>
      <w:outlineLvl w:val="0"/>
    </w:pPr>
    <w:rPr>
      <w:rFonts w:asciiTheme="majorHAnsi" w:hAnsiTheme="majorHAnsi" w:cs="Times New Roman (Body CS)"/>
      <w:b/>
      <w:bCs/>
      <w:caps/>
      <w:color w:val="EDA516" w:themeColor="accent4"/>
      <w:spacing w:val="10"/>
      <w:sz w:val="28"/>
    </w:rPr>
  </w:style>
  <w:style w:type="paragraph" w:styleId="Heading2">
    <w:name w:val="heading 2"/>
    <w:basedOn w:val="Normal"/>
    <w:next w:val="Normal"/>
    <w:link w:val="Heading2Char"/>
    <w:uiPriority w:val="9"/>
    <w:qFormat/>
    <w:rsid w:val="00D04747"/>
    <w:pPr>
      <w:keepNext/>
      <w:keepLines/>
      <w:numPr>
        <w:numId w:val="4"/>
      </w:numPr>
      <w:spacing w:before="360" w:after="0" w:line="240" w:lineRule="auto"/>
      <w:outlineLvl w:val="1"/>
    </w:pPr>
    <w:rPr>
      <w:rFonts w:cs="Times New Roman (Body CS)"/>
      <w:b/>
      <w:bCs/>
      <w:color w:val="3D97B6" w:themeColor="accent2"/>
      <w:spacing w:val="1"/>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021E2B"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032D41"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032D41"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896240"/>
    <w:pPr>
      <w:spacing w:after="0" w:line="480" w:lineRule="exact"/>
    </w:pPr>
    <w:rPr>
      <w:rFonts w:asciiTheme="majorHAnsi" w:eastAsiaTheme="majorEastAsia" w:hAnsiTheme="majorHAnsi" w:cs="Times New Roman (Headings CS)"/>
      <w:caps/>
      <w:color w:val="053D58" w:themeColor="accent1"/>
      <w:spacing w:val="10"/>
      <w:kern w:val="28"/>
      <w:sz w:val="48"/>
    </w:rPr>
  </w:style>
  <w:style w:type="character" w:customStyle="1" w:styleId="TitleChar">
    <w:name w:val="Title Char"/>
    <w:basedOn w:val="DefaultParagraphFont"/>
    <w:link w:val="Title"/>
    <w:uiPriority w:val="1"/>
    <w:rsid w:val="00896240"/>
    <w:rPr>
      <w:rFonts w:asciiTheme="majorHAnsi" w:eastAsiaTheme="majorEastAsia" w:hAnsiTheme="majorHAnsi" w:cs="Times New Roman (Headings CS)"/>
      <w:caps/>
      <w:color w:val="053D58" w:themeColor="accent1"/>
      <w:spacing w:val="10"/>
      <w:kern w:val="28"/>
      <w:sz w:val="4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D04747"/>
    <w:pPr>
      <w:numPr>
        <w:ilvl w:val="1"/>
      </w:numPr>
      <w:spacing w:before="80" w:after="0" w:line="280" w:lineRule="exact"/>
    </w:pPr>
    <w:rPr>
      <w:rFonts w:cs="Times New Roman (Body CS)"/>
      <w:b/>
      <w:bCs/>
      <w:color w:val="3D97B6" w:themeColor="accent2"/>
      <w:spacing w:val="1"/>
      <w:sz w:val="24"/>
    </w:rPr>
  </w:style>
  <w:style w:type="character" w:customStyle="1" w:styleId="SubtitleChar">
    <w:name w:val="Subtitle Char"/>
    <w:basedOn w:val="DefaultParagraphFont"/>
    <w:link w:val="Subtitle"/>
    <w:uiPriority w:val="2"/>
    <w:rsid w:val="00D04747"/>
    <w:rPr>
      <w:rFonts w:cs="Times New Roman (Body CS)"/>
      <w:b/>
      <w:bCs/>
      <w:color w:val="3D97B6" w:themeColor="accent2"/>
      <w:spacing w:val="1"/>
      <w:sz w:val="24"/>
    </w:rPr>
  </w:style>
  <w:style w:type="character" w:customStyle="1" w:styleId="Heading1Char">
    <w:name w:val="Heading 1 Char"/>
    <w:basedOn w:val="DefaultParagraphFont"/>
    <w:link w:val="Heading1"/>
    <w:uiPriority w:val="9"/>
    <w:rsid w:val="00CA5572"/>
    <w:rPr>
      <w:rFonts w:asciiTheme="majorHAnsi" w:hAnsiTheme="majorHAnsi" w:cs="Times New Roman (Body CS)"/>
      <w:b/>
      <w:bCs/>
      <w:caps/>
      <w:color w:val="EDA516" w:themeColor="accent4"/>
      <w:spacing w:val="1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AFE2FA" w:themeFill="accent1" w:themeFillTint="33"/>
    </w:tcPr>
    <w:tblStylePr w:type="firstCol">
      <w:pPr>
        <w:wordWrap/>
        <w:jc w:val="center"/>
      </w:pPr>
    </w:tblStylePr>
  </w:style>
  <w:style w:type="paragraph" w:customStyle="1" w:styleId="TipText">
    <w:name w:val="Tip Text"/>
    <w:basedOn w:val="Normal"/>
    <w:uiPriority w:val="19"/>
    <w:rsid w:val="00DD04BF"/>
    <w:pPr>
      <w:spacing w:after="120" w:line="264" w:lineRule="auto"/>
      <w:ind w:right="576"/>
    </w:pPr>
    <w:rPr>
      <w:iCs/>
      <w:sz w:val="18"/>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021E2B" w:themeColor="accent1" w:themeShade="7F"/>
      <w:sz w:val="24"/>
      <w:szCs w:val="24"/>
    </w:rPr>
  </w:style>
  <w:style w:type="character" w:customStyle="1" w:styleId="Heading2Char">
    <w:name w:val="Heading 2 Char"/>
    <w:basedOn w:val="DefaultParagraphFont"/>
    <w:link w:val="Heading2"/>
    <w:uiPriority w:val="9"/>
    <w:rsid w:val="00C026B2"/>
    <w:rPr>
      <w:rFonts w:cs="Times New Roman (Body CS)"/>
      <w:b/>
      <w:bCs/>
      <w:color w:val="3D97B6" w:themeColor="accent2"/>
      <w:spacing w:val="1"/>
      <w:sz w:val="24"/>
    </w:rPr>
  </w:style>
  <w:style w:type="paragraph" w:styleId="ListBullet">
    <w:name w:val="List Bullet"/>
    <w:basedOn w:val="Normal"/>
    <w:uiPriority w:val="11"/>
    <w:qFormat/>
    <w:rsid w:val="00DD04BF"/>
    <w:pPr>
      <w:numPr>
        <w:numId w:val="2"/>
      </w:numPr>
      <w:spacing w:after="60"/>
    </w:pPr>
    <w:rPr>
      <w:i/>
      <w:sz w:val="18"/>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26B2"/>
    <w:rPr>
      <w:sz w:val="20"/>
    </w:rPr>
  </w:style>
  <w:style w:type="paragraph" w:styleId="Footer">
    <w:name w:val="footer"/>
    <w:basedOn w:val="Normal"/>
    <w:link w:val="FooterChar"/>
    <w:uiPriority w:val="99"/>
    <w:rsid w:val="0056348C"/>
    <w:pPr>
      <w:spacing w:before="200" w:after="0" w:line="240" w:lineRule="auto"/>
      <w:contextualSpacing/>
      <w:jc w:val="right"/>
    </w:pPr>
    <w:rPr>
      <w:rFonts w:asciiTheme="majorHAnsi" w:eastAsiaTheme="majorEastAsia" w:hAnsiTheme="majorHAnsi" w:cstheme="majorBidi"/>
      <w:noProof/>
      <w:color w:val="EDA516" w:themeColor="accent4"/>
    </w:rPr>
  </w:style>
  <w:style w:type="character" w:customStyle="1" w:styleId="FooterChar">
    <w:name w:val="Footer Char"/>
    <w:basedOn w:val="DefaultParagraphFont"/>
    <w:link w:val="Footer"/>
    <w:uiPriority w:val="99"/>
    <w:rsid w:val="00C026B2"/>
    <w:rPr>
      <w:rFonts w:asciiTheme="majorHAnsi" w:eastAsiaTheme="majorEastAsia" w:hAnsiTheme="majorHAnsi" w:cstheme="majorBidi"/>
      <w:noProof/>
      <w:color w:val="EDA516" w:themeColor="accent4"/>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12A8F1" w:themeColor="accent1" w:themeTint="99"/>
        <w:left w:val="single" w:sz="4" w:space="0" w:color="12A8F1" w:themeColor="accent1" w:themeTint="99"/>
        <w:bottom w:val="single" w:sz="4" w:space="0" w:color="12A8F1" w:themeColor="accent1" w:themeTint="99"/>
        <w:right w:val="single" w:sz="4" w:space="0" w:color="12A8F1" w:themeColor="accent1" w:themeTint="99"/>
        <w:insideH w:val="single" w:sz="4" w:space="0" w:color="12A8F1" w:themeColor="accent1" w:themeTint="99"/>
        <w:insideV w:val="single" w:sz="4" w:space="0" w:color="12A8F1" w:themeColor="accent1" w:themeTint="99"/>
      </w:tblBorders>
      <w:tblCellMar>
        <w:top w:w="29" w:type="dxa"/>
        <w:bottom w:w="29" w:type="dxa"/>
      </w:tblCellMar>
    </w:tblPr>
    <w:tblStylePr w:type="firstRow">
      <w:rPr>
        <w:b/>
        <w:bCs/>
        <w:color w:val="FFFFFF" w:themeColor="background1"/>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nil"/>
          <w:insideV w:val="nil"/>
        </w:tcBorders>
        <w:shd w:val="clear" w:color="auto" w:fill="053D58" w:themeFill="accent1"/>
      </w:tcPr>
    </w:tblStylePr>
    <w:tblStylePr w:type="lastRow">
      <w:rPr>
        <w:b/>
        <w:bCs/>
      </w:rPr>
      <w:tblPr/>
      <w:tcPr>
        <w:tcBorders>
          <w:top w:val="double" w:sz="4" w:space="0" w:color="053D58" w:themeColor="accent1"/>
        </w:tcBorders>
      </w:tcPr>
    </w:tblStylePr>
    <w:tblStylePr w:type="firstCol">
      <w:rPr>
        <w:b/>
        <w:bCs/>
      </w:rPr>
    </w:tblStylePr>
    <w:tblStylePr w:type="lastCol">
      <w:rPr>
        <w:b/>
        <w:bCs/>
      </w:rPr>
    </w:tblStylePr>
    <w:tblStylePr w:type="band1Vert">
      <w:tblPr/>
      <w:tcPr>
        <w:shd w:val="clear" w:color="auto" w:fill="AFE2FA" w:themeFill="accent1" w:themeFillTint="33"/>
      </w:tcPr>
    </w:tblStylePr>
    <w:tblStylePr w:type="band1Horz">
      <w:tblPr/>
      <w:tcPr>
        <w:shd w:val="clear" w:color="auto" w:fill="AFE2FA"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rsid w:val="00C026B2"/>
    <w:pPr>
      <w:spacing w:before="120" w:after="120" w:line="240" w:lineRule="auto"/>
    </w:pPr>
    <w:tblPr>
      <w:tblStyleRowBandSize w:val="1"/>
      <w:tbl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blBorders>
      <w:tblCellMar>
        <w:left w:w="144" w:type="dxa"/>
        <w:right w:w="144" w:type="dxa"/>
      </w:tblCellMar>
    </w:tblPr>
    <w:tblStylePr w:type="firstRow">
      <w:pPr>
        <w:keepNext/>
        <w:wordWrap/>
      </w:pPr>
      <w:rPr>
        <w:b/>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99DDEC" w:themeFill="accent3"/>
      </w:tcPr>
    </w:tblStylePr>
    <w:tblStylePr w:type="lastRow">
      <w:rPr>
        <w:b/>
        <w:color w:val="FFFFFF" w:themeColor="background1"/>
      </w:rPr>
      <w:tblPr/>
      <w:tcPr>
        <w:shd w:val="clear" w:color="auto" w:fill="053D58" w:themeFill="accent1"/>
      </w:tcPr>
    </w:tblStylePr>
    <w:tblStylePr w:type="band2Horz">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D0E8EC" w:themeFill="accent5"/>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032D41"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032D41"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032D41"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032D41" w:themeColor="accent1" w:themeShade="BF"/>
        <w:bottom w:val="single" w:sz="4" w:space="10" w:color="032D41" w:themeColor="accent1" w:themeShade="BF"/>
      </w:pBdr>
      <w:spacing w:before="360" w:after="360"/>
      <w:ind w:left="864" w:right="864"/>
      <w:jc w:val="center"/>
    </w:pPr>
    <w:rPr>
      <w:i/>
      <w:iCs/>
      <w:color w:val="032D41" w:themeColor="accent1" w:themeShade="BF"/>
    </w:rPr>
  </w:style>
  <w:style w:type="character" w:customStyle="1" w:styleId="IntenseQuoteChar">
    <w:name w:val="Intense Quote Char"/>
    <w:basedOn w:val="DefaultParagraphFont"/>
    <w:link w:val="IntenseQuote"/>
    <w:uiPriority w:val="30"/>
    <w:semiHidden/>
    <w:rsid w:val="008D5E06"/>
    <w:rPr>
      <w:i/>
      <w:iCs/>
      <w:color w:val="032D41" w:themeColor="accent1" w:themeShade="BF"/>
    </w:rPr>
  </w:style>
  <w:style w:type="character" w:styleId="IntenseReference">
    <w:name w:val="Intense Reference"/>
    <w:basedOn w:val="DefaultParagraphFont"/>
    <w:uiPriority w:val="32"/>
    <w:semiHidden/>
    <w:unhideWhenUsed/>
    <w:qFormat/>
    <w:rsid w:val="008D5E06"/>
    <w:rPr>
      <w:b/>
      <w:bCs/>
      <w:caps w:val="0"/>
      <w:smallCaps/>
      <w:color w:val="032D41" w:themeColor="accent1" w:themeShade="BF"/>
      <w:spacing w:val="5"/>
    </w:rPr>
  </w:style>
  <w:style w:type="paragraph" w:styleId="BlockText">
    <w:name w:val="Block Text"/>
    <w:basedOn w:val="Normal"/>
    <w:uiPriority w:val="99"/>
    <w:semiHidden/>
    <w:unhideWhenUsed/>
    <w:rsid w:val="008D5E06"/>
    <w:pPr>
      <w:pBdr>
        <w:top w:val="single" w:sz="2" w:space="10" w:color="032D41" w:themeColor="accent1" w:themeShade="BF"/>
        <w:left w:val="single" w:sz="2" w:space="10" w:color="032D41" w:themeColor="accent1" w:themeShade="BF"/>
        <w:bottom w:val="single" w:sz="2" w:space="10" w:color="032D41" w:themeColor="accent1" w:themeShade="BF"/>
        <w:right w:val="single" w:sz="2" w:space="10" w:color="032D41" w:themeColor="accent1" w:themeShade="BF"/>
      </w:pBdr>
      <w:ind w:left="1152" w:right="1152"/>
    </w:pPr>
    <w:rPr>
      <w:rFonts w:eastAsiaTheme="minorEastAsia"/>
      <w:i/>
      <w:iCs/>
      <w:color w:val="032D41" w:themeColor="accent1" w:themeShade="BF"/>
    </w:rPr>
  </w:style>
  <w:style w:type="character" w:styleId="Hyperlink">
    <w:name w:val="Hyperlink"/>
    <w:basedOn w:val="DefaultParagraphFont"/>
    <w:uiPriority w:val="99"/>
    <w:unhideWhenUsed/>
    <w:rsid w:val="008D5E06"/>
    <w:rPr>
      <w:color w:val="5F97AC"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semiHidden/>
    <w:rsid w:val="00F16B15"/>
    <w:pPr>
      <w:numPr>
        <w:numId w:val="15"/>
      </w:numPr>
      <w:spacing w:after="60"/>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nfo">
    <w:name w:val="Info"/>
    <w:basedOn w:val="Normal"/>
    <w:semiHidden/>
    <w:qFormat/>
    <w:rsid w:val="009C0227"/>
    <w:pPr>
      <w:keepNext/>
      <w:spacing w:before="120" w:after="120" w:line="240" w:lineRule="auto"/>
    </w:pPr>
  </w:style>
  <w:style w:type="character" w:styleId="Emphasis">
    <w:name w:val="Emphasis"/>
    <w:uiPriority w:val="20"/>
    <w:semiHidden/>
    <w:qFormat/>
    <w:rsid w:val="00046997"/>
    <w:rPr>
      <w:rFonts w:asciiTheme="minorHAnsi" w:hAnsiTheme="minorHAnsi"/>
      <w:b/>
      <w:i w:val="0"/>
      <w:iCs/>
      <w:color w:val="404040" w:themeColor="text1" w:themeTint="BF"/>
      <w:sz w:val="16"/>
    </w:rPr>
  </w:style>
  <w:style w:type="character" w:styleId="UnresolvedMention">
    <w:name w:val="Unresolved Mention"/>
    <w:basedOn w:val="DefaultParagraphFont"/>
    <w:uiPriority w:val="99"/>
    <w:semiHidden/>
    <w:unhideWhenUsed/>
    <w:rsid w:val="00347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906243">
      <w:bodyDiv w:val="1"/>
      <w:marLeft w:val="0"/>
      <w:marRight w:val="0"/>
      <w:marTop w:val="0"/>
      <w:marBottom w:val="0"/>
      <w:divBdr>
        <w:top w:val="none" w:sz="0" w:space="0" w:color="auto"/>
        <w:left w:val="none" w:sz="0" w:space="0" w:color="auto"/>
        <w:bottom w:val="none" w:sz="0" w:space="0" w:color="auto"/>
        <w:right w:val="none" w:sz="0" w:space="0" w:color="auto"/>
      </w:divBdr>
    </w:div>
    <w:div w:id="90402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viv\AppData\Roaming\Microsoft\Templates\Business%20project%20scope%20report.dotx" TargetMode="External"/></Relationships>
</file>

<file path=word/theme/theme1.xml><?xml version="1.0" encoding="utf-8"?>
<a:theme xmlns:a="http://schemas.openxmlformats.org/drawingml/2006/main" name="Office Theme">
  <a:themeElements>
    <a:clrScheme name="BusinessProjectScope">
      <a:dk1>
        <a:srgbClr val="000000"/>
      </a:dk1>
      <a:lt1>
        <a:srgbClr val="FFFFFF"/>
      </a:lt1>
      <a:dk2>
        <a:srgbClr val="0E2841"/>
      </a:dk2>
      <a:lt2>
        <a:srgbClr val="E8E8E8"/>
      </a:lt2>
      <a:accent1>
        <a:srgbClr val="053D58"/>
      </a:accent1>
      <a:accent2>
        <a:srgbClr val="3D97B6"/>
      </a:accent2>
      <a:accent3>
        <a:srgbClr val="99DDEC"/>
      </a:accent3>
      <a:accent4>
        <a:srgbClr val="EDA516"/>
      </a:accent4>
      <a:accent5>
        <a:srgbClr val="D0E8EC"/>
      </a:accent5>
      <a:accent6>
        <a:srgbClr val="9BBECB"/>
      </a:accent6>
      <a:hlink>
        <a:srgbClr val="3D97B7"/>
      </a:hlink>
      <a:folHlink>
        <a:srgbClr val="EDA516"/>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31B75D-9336-4D96-B201-D13E38C2A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382FA9-CEB6-C04C-869B-14E9F459376F}">
  <ds:schemaRefs>
    <ds:schemaRef ds:uri="http://schemas.openxmlformats.org/officeDocument/2006/bibliography"/>
  </ds:schemaRefs>
</ds:datastoreItem>
</file>

<file path=customXml/itemProps3.xml><?xml version="1.0" encoding="utf-8"?>
<ds:datastoreItem xmlns:ds="http://schemas.openxmlformats.org/officeDocument/2006/customXml" ds:itemID="{5BC64F0E-02A2-48CB-8562-4E8DB07921E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EF2D1228-205F-4B5E-93DC-95BDD112F3EC}">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Business project scope report</Template>
  <TotalTime>19</TotalTime>
  <Pages>5</Pages>
  <Words>1279</Words>
  <Characters>7294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Ravi Vaitiyanathan</dc:creator>
  <cp:lastModifiedBy>Ravi Vaitiyanathan</cp:lastModifiedBy>
  <cp:revision>3</cp:revision>
  <cp:lastPrinted>2025-04-29T22:21:00Z</cp:lastPrinted>
  <dcterms:created xsi:type="dcterms:W3CDTF">2026-09-14T15:16:00Z</dcterms:created>
  <dcterms:modified xsi:type="dcterms:W3CDTF">2026-09-14T15:48:00Z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