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Apprentissage supervisé</w:t>
      </w:r>
    </w:p>
    <w:p>
      <w:r>
        <w:t xml:space="preserve">L’apprentissage supervisé consiste à entraîner un modèle à partir d’exemples dont la bonne réponse, appelée étiquette ou cible, est connue. Le modèle apprend une fonction qui associe une entrée à une sortie.</w:t>
      </w:r>
    </w:p>
    <w:p>
      <w:r>
        <w:t xml:space="preserve">Il existe deux grandes familles de problèmes. La classification prédit une catégorie discrète, par exemple « spam » ou « non spam ». La régression prédit une valeur numérique continue, par exemple le prix d’un logement.</w:t>
      </w:r>
    </w:p>
    <w:p>
      <w:r>
        <w:t xml:space="preserve">Pour évaluer un modèle, on sépare les données en deux ensembles : l’ensemble d’entraînement, utilisé pour apprendre, et l’ensemble de test, réservé à l’évaluation. Évaluer le modèle sur les données d’entraînement donnerait une image trop optimiste de ses performances.</w:t>
      </w:r>
    </w:p>
    <w:p>
      <w:r>
        <w:t xml:space="preserve">Un modèle qui mémorise les exemples d’entraînement, y compris leur bruit, présente un surapprentissage : il réussit très bien sur les données d’entraînement mais généralise mal à de nouvelles données. À l’inverse, un modèle trop simple souffre de sous-apprentissage et n’arrive pas à capturer la structure des données.</w:t>
      </w:r>
    </w:p>
    <w:p>
      <w:r>
        <w:t xml:space="preserve">L’apprentissage non supervisé travaille sur des données sans étiquettes. Il sert par exemple à regrouper des clients ayant des comportements similaires, ce qu’on appelle le clustering.</w:t>
      </w:r>
    </w:p>
    <w:p>
      <w:r>
        <w:t>Figure 1 : representation des exemples de deux classes, avec la droite de separation.</w:t>
      </w:r>
    </w:p>
  </w:body>
</w:document>
</file>