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5U AI — 90-DAY EXECUTION ROADMAP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31 July – 29 October 2026 · Executes the S1+S2-first, S4-pilot, S3-gated sequencing from 5U-AI-MECE-Strategy.docx. Ties to the live 5U-AI-Scenario-Model.xlsx — gate results update the scenario each quarter.</w:t>
      </w:r>
    </w:p>
    <w:p>
      <w:pPr>
        <w:pStyle w:val="Heading1"/>
        <w:spacing w:after="120" w:before="300"/>
      </w:pPr>
      <w:r>
        <w:rPr>
          <w:color w:val="1F3864"/>
        </w:rPr>
        <w:t xml:space="preserve">1. Objective and the one guardrail</w:t>
      </w:r>
    </w:p>
    <w:p>
      <w:pPr>
        <w:spacing w:after="120"/>
      </w:pPr>
      <w:r>
        <w:t xml:space="preserve">Start the two cheapest, highest-leverage levers immediately (partner channel, pricing), run a small paid test of the road-freight pool, and hold the self-serve product decision until it has evidence. </w:t>
      </w:r>
    </w:p>
    <w:p>
      <w:pPr>
        <w:spacing w:after="120"/>
      </w:pPr>
      <w:r>
        <w:rPr>
          <w:b/>
          <w:bCs/>
        </w:rPr>
        <w:t xml:space="preserve">Guardrail that overrides everything else: </w:t>
      </w:r>
      <w:r>
        <w:t xml:space="preserve">never book more forward-deployed customers than FDE capacity can serve (1 FDE ≈ 10 accounts). If pipeline outruns hiring, throttle sales before quality slips — this was the single biggest failure mode in the stress test.</w:t>
      </w:r>
    </w:p>
    <w:p>
      <w:pPr>
        <w:pStyle w:val="Heading1"/>
        <w:spacing w:after="120" w:before="300"/>
      </w:pPr>
      <w:r>
        <w:rPr>
          <w:color w:val="1F3864"/>
        </w:rPr>
        <w:t xml:space="preserve">2. Roadmap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26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1 (Wk 1–4)</w:t>
            </w:r>
          </w:p>
        </w:tc>
        <w:tc>
          <w:tcPr>
            <w:tcW w:type="dxa" w:w="26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2 (Wk 5–8)</w:t>
            </w:r>
          </w:p>
        </w:tc>
        <w:tc>
          <w:tcPr>
            <w:tcW w:type="dxa" w:w="26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Month 3 (Wk 9–13)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(S2)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rate card + deployment fee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 win rate; adjust if needed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 in as standard or revise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fixes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 redraft: liability, SLA, CPI cap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 to active renewals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in all new paper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channel (S1)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CargoWise certification application; Timocom outreach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Certification live; Timocom listing + co-marketing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partner-sourced leads worked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pilot (S4)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Identify 5–10 Timocom-connected prospects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2–3 paid discovery pilots (FDE-delivered, by exception)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decision: fund roadmap or park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Self-serve (S3)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build — track only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 + waitlist (signal only)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gated yet — review at day 180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 logos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Shortlist 3 candidates, offer terms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1–2 at discount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 study drafted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 Ghent + Milan + Berlin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T&amp;L Ghent (Sep 22–23)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FIATA Milan (Oct 6–9), BVL Berlin (Oct 21–22)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Capacity/hiring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FDE #3 + GTM hire reqs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Interview and offer</w:t>
            </w:r>
          </w:p>
        </w:tc>
        <w:tc>
          <w:tcPr>
            <w:tcW w:type="dxa" w:w="2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FDE #3 onboarded before pipeline lands</w:t>
            </w:r>
          </w:p>
        </w:tc>
      </w:tr>
    </w:tbl>
    <w:p>
      <w:pPr>
        <w:pStyle w:val="Heading1"/>
        <w:spacing w:after="120" w:before="300"/>
      </w:pPr>
      <w:r>
        <w:rPr>
          <w:color w:val="1F3864"/>
        </w:rPr>
        <w:t xml:space="preserve">3. Week-by-week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660"/>
        <w:gridCol w:w="2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 engaged on contract fixes (liability cap → 1x annual fees, 99.5% SLA, CPI+3% cap)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+ outside counsel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Redline drafted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CargoWise partner-certification application submitted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acknowledged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Timocom partnership conversation opened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 / GTM hire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call booked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card finalized (Launch→Enterprise, €30k–€108k) and published on site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URL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Per-additional-Worker deployment fee (~€4.5k) added to standard contract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+ legal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template in use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reference-logo candidates shortlisted; discount terms drafted (≤20%, max 3 accounts)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Offers sent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Comparison pages drafted (vs Nexcade, Copilot Studio/n8n, DIY)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GTM hire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pages live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FDE #3 and Founding GTM hire reqs posted; pipeline of candidates started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CEO/CTO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≥5 candidates each in process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CargoWise certification finalized; co-marketing asset agreed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Certified badge usable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5–6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Timocom listing live; road-pool prospect list built (5–10 names)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GTM hire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Listing live + list ready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Ghent (T&amp;L) and Milan (FIATA) logistics booked: registrations, meeting lists pre-scheduled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Bookings confirmed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7–8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2–3 paid road-freight discovery pilots kicked off (priced, not free). FDE-delivered by exception — the output is the Road Charter Worker spec, not a book of FDE-served road accounts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FDE lead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Pilots signed; Worker requirements logged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Transport &amp; Logistics Ghent (22–23 Sep) — beachhead pipeline meetings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CEO/GTM hire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≥15 qualified meetings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FDE #3 onboarded and ramping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Started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FIATA World Congress, Milan (6–9 Oct) — reputation + peer-proof intros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≥5 partner/reference conversations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partner-sourced leads (CargoWise/Timocom) worked by GTM hire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GTM hire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≥3 leads in pipeline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BVL Supply Chain CX, Berlin (21–22 Oct) — EU-AI-Act / decision-layer thought leadership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Talk or panel delivered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Day-90 gate review against Scenario Model; decide scale/kill per workstream</w:t>
            </w:r>
          </w:p>
        </w:tc>
        <w:tc>
          <w:tcPr>
            <w:tcW w:type="dxa" w:w="1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+ CTO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decisions logged</w:t>
            </w:r>
          </w:p>
        </w:tc>
      </w:tr>
    </w:tbl>
    <w:p>
      <w:pPr>
        <w:pStyle w:val="Heading1"/>
        <w:spacing w:after="120" w:before="300"/>
      </w:pPr>
      <w:r>
        <w:rPr>
          <w:color w:val="1F3864"/>
        </w:rPr>
        <w:t xml:space="preserve">4. Budget (90 days)</w:t>
      </w:r>
    </w:p>
    <w:p>
      <w:pPr>
        <w:spacing w:after="120"/>
      </w:pPr>
      <w:r>
        <w:t xml:space="preserve">Modest against the ~€2.95m pre-seed cash on hand; this is a test-and-learn budget, not a growth-spend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1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 — contract redraft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€15,000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Liability, SLA, CPI clause, cross-training opt-out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CargoWise certification + partner program fees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€8,000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One-time + first-year fee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Timocom listing / partnership setup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€4,000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 — confirm with Timocom commercial team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Comparison pages + content (design/copy)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€8,000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Freelance or agency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Reference-logo discounts (revenue foregone, not cash)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~€36,000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accounts × €60k ACV × 20% — opportunity cost, tracked separately from cash spend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Events — Ghent (attend; entry free, travel only)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€1,500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Events — FIATA Milan (€580 under-35 rate + travel)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€3,000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Centenary edition. Book by 15 Sep. A stand would add ~€22k, decide separately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Events — BVL Berlin (€900 start-up ticket + travel)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€2,000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Recruiting — FDE #3 + Founding GTM hire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€25,000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Agency/sourcing fees; salaries already in Scenario Model opex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total (excl. discount foregone)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~€66,500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~2% of pre-seed cash — leaves runway intact</w:t>
            </w:r>
          </w:p>
        </w:tc>
      </w:tr>
    </w:tbl>
    <w:p>
      <w:pPr>
        <w:pStyle w:val="Heading1"/>
        <w:spacing w:after="120" w:before="300"/>
      </w:pPr>
      <w:r>
        <w:rPr>
          <w:color w:val="1F3864"/>
        </w:rPr>
        <w:t xml:space="preserve">5. Day-90 gate review — scale, adjust, or 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Scale if…</w:t>
            </w:r>
          </w:p>
        </w:tc>
        <w:tc>
          <w:tcPr>
            <w:tcW w:type="dxa" w:w="2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Kill/hold if…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channel (S1)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Certified + partner-sourced leads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≥3 qualified leads by Wk 13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&lt;3 — revisit co-marketing terms, don't abandon (asset already built)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 (S2)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 rate vs pre-publish baseline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Stable ±5pts or better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Drops &gt;5pts — test a 10% lower anchor before reverting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pilot (S4)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 paid pilots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≥2 signed by Wk 13 — fund the Worker; steady-state road delivery moves to the marketplace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0–1 — park until customs Worker ships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Self-serve (S3)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Waitlist signups (signal only)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not gated this cycle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full build decision at day 180 per MECE strategy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FDE utilisation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&lt;85%, FDE #3 ramped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≥85% or hiring behind plan → throttle new logos immediately</w:t>
            </w:r>
          </w:p>
        </w:tc>
      </w:tr>
    </w:tbl>
    <w:p>
      <w:pPr>
        <w:pStyle w:val="Heading1"/>
        <w:spacing w:after="120" w:before="300"/>
      </w:pPr>
      <w:r>
        <w:rPr>
          <w:color w:val="1F3864"/>
        </w:rPr>
        <w:t xml:space="preserve">6. Ownership (RACI, condensed for a 7–person team)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7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 (Accountable)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Pricing, reference logos, event reputation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(Yagiz)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GTM hire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CargoWise/Timocom technical certification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 (Fehmi)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outreach, road-pilot prospecting, events logistics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Founding GTM hire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 pilot delivery, FDE capacity planning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FDE lead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redraft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Outside counsel</w:t>
            </w:r>
          </w:p>
        </w:tc>
      </w:tr>
    </w:tbl>
    <w:p>
      <w:pPr>
        <w:pStyle w:val="Heading1"/>
        <w:spacing w:after="120" w:before="300"/>
      </w:pPr>
      <w:r>
        <w:rPr>
          <w:color w:val="1F3864"/>
        </w:rPr>
        <w:t xml:space="preserve">7. Risks to this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Hiring slips. </w:t>
      </w:r>
      <w:r>
        <w:t xml:space="preserve">FDE #3 and the GTM hire are on the critical path for weeks 3–9; a slow search delays the partner-lead follow-up and the road pilots simultaneously. Start sourcing week 1, not after the legal/pricing work clears.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 spend concentrated in one month. </w:t>
      </w:r>
      <w:r>
        <w:t xml:space="preserve">All three events land in Sep–Oct; book registrations/flights in weeks 1–6 to avoid last-minute price spikes; FIATA's under-35 rate closes 15 Sep.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Partner certification timeline is not fully in 5U AI's control. </w:t>
      </w:r>
      <w:r>
        <w:t xml:space="preserve">CargoWise's own review process could push past week 6 — submit week 1 to buy maximum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Self-serve underinvestment risk. </w:t>
      </w:r>
      <w:r>
        <w:t xml:space="preserve">Deliberately not building this quarter is correct per the model, but don't let “not gated yet” become “forgotten” — the day-180 decision needs the waitlist data collected now.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2026-07-31T10:06:58.375Z</dcterms:created>
  <dcterms:modified xsi:type="dcterms:W3CDTF">2026-07-31T10:06:58.376Z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