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A5F" w:sz="8" w:space="4"/>
        </w:pBdr>
        <w:spacing w:after="60"/>
      </w:pPr>
      <w:r>
        <w:rPr>
          <w:b/>
          <w:bCs/>
          <w:color w:val="1F3A5F"/>
          <w:sz w:val="30"/>
          <w:szCs w:val="30"/>
        </w:rPr>
        <w:t xml:space="preserve">5U AI — EXECUTIVE SUMMARY</w:t>
      </w:r>
      <w:r>
        <w:rPr>
          <w:color w:val="5A5A5A"/>
          <w:sz w:val="14"/>
          <w:szCs w:val="14"/>
        </w:rPr>
        <w:t xml:space="preserve">   30 July 2026 · distils a 25-page dossier and a 13-tab workbook · 60+ cited sources</w:t>
      </w:r>
    </w:p>
    <w:p>
      <w:pPr>
        <w:spacing w:after="40" w:before="110"/>
      </w:pPr>
      <w:r>
        <w:rPr>
          <w:b/>
          <w:bCs/>
          <w:color w:val="1F3A5F"/>
          <w:sz w:val="19"/>
          <w:szCs w:val="19"/>
        </w:rPr>
        <w:t xml:space="preserve">THE COMPANY</w:t>
      </w:r>
    </w:p>
    <w:p>
      <w:pPr>
        <w:spacing w:after="40" w:line="228"/>
      </w:pPr>
      <w:r>
        <w:rPr>
          <w:sz w:val="17"/>
          <w:szCs w:val="17"/>
        </w:rPr>
        <w:t xml:space="preserve">Munich startup (entity: 5U AI B.V., Rotterdam; Dutch law) selling </w:t>
      </w:r>
      <w:r>
        <w:rPr>
          <w:b/>
          <w:bCs/>
          <w:sz w:val="17"/>
          <w:szCs w:val="17"/>
        </w:rPr>
        <w:t xml:space="preserve">"AI Workers"</w:t>
      </w:r>
      <w:r>
        <w:rPr>
          <w:sz w:val="17"/>
          <w:szCs w:val="17"/>
        </w:rPr>
        <w:t xml:space="preserve"> — configurable agents inside a freight forwarder's email, chat and TMS that execute workflows end to end. Founded 2025 by TU Munich graduates Yagiz Abik (CEO, ex-physical trade) and Fehmi Şener (CTO, ex-BMW/CEVA ML). 7 people, 7 open roles. </w:t>
      </w:r>
      <w:r>
        <w:rPr>
          <w:b/>
          <w:bCs/>
          <w:sz w:val="17"/>
          <w:szCs w:val="17"/>
        </w:rPr>
        <w:t xml:space="preserve">US$3.2m pre-seed announced 28 Jul 2026</w:t>
      </w:r>
      <w:r>
        <w:rPr>
          <w:sz w:val="17"/>
          <w:szCs w:val="17"/>
        </w:rPr>
        <w:t xml:space="preserve"> — Emerge Capital (lead), Inari, angels from DHL/GEODIS/DSV/Maersk/CEVA. Product: named Workers (Rate Manager, Track &amp; Trace, DocuMind, Copilot) run a four-node pipeline (email listener → AI worker → human approval via Teams/Slack → communicator); a </w:t>
      </w:r>
      <w:r>
        <w:rPr>
          <w:b/>
          <w:bCs/>
          <w:sz w:val="17"/>
          <w:szCs w:val="17"/>
        </w:rPr>
        <w:t xml:space="preserve">Decision Layer</w:t>
      </w:r>
      <w:r>
        <w:rPr>
          <w:sz w:val="17"/>
          <w:szCs w:val="17"/>
        </w:rPr>
        <w:t xml:space="preserve"> records the reasoning behind every action (the claimed moat); shadow-mode training on customer history; ~4-week forward-deployed go-live ramping to 85–95% unattended. Stack: Python/FastAPI on Northflank; Anthropic, OpenAI, Google, Mistral; Langfuse. Real beachhead per their own FAQ: rate management + track &amp; trace. Traction: paying customers in DE/AT/Benelux that renew and expand, one named logo (TCI International Logistics), sub-€1m ARR, zero marketing spend, founder-led sales. </w:t>
      </w:r>
      <w:r>
        <w:rPr>
          <w:b/>
          <w:bCs/>
          <w:sz w:val="17"/>
          <w:szCs w:val="17"/>
        </w:rPr>
        <w:t xml:space="preserve">No public pricing;</w:t>
      </w:r>
      <w:r>
        <w:rPr>
          <w:sz w:val="17"/>
          <w:szCs w:val="17"/>
        </w:rPr>
        <w:t xml:space="preserve"> the T&amp;Cs reveal a 2-year lock-in, no termination for convenience, no SLA, and a €50k liability cap ⇒ implied ACV €10–50k.</w:t>
      </w:r>
    </w:p>
    <w:p>
      <w:pPr>
        <w:spacing w:after="40" w:before="110"/>
      </w:pPr>
      <w:r>
        <w:rPr>
          <w:b/>
          <w:bCs/>
          <w:color w:val="1F3A5F"/>
          <w:sz w:val="19"/>
          <w:szCs w:val="19"/>
        </w:rPr>
        <w:t xml:space="preserve">THE NUMBERS (our models — assumptions, not audited)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760"/>
        <w:gridCol w:w="2560"/>
        <w:gridCol w:w="3920"/>
      </w:tblGrid>
      <w:tr>
        <w:trPr>
          <w:cantSplit/>
          <w:tblHeader/>
        </w:trPr>
        <w:tc>
          <w:tcPr>
            <w:tcW w:type="dxa" w:w="2560"/>
            <w:shd w:fill="EDEAE4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b/>
                <w:bCs/>
                <w:sz w:val="16"/>
                <w:szCs w:val="16"/>
              </w:rPr>
              <w:t xml:space="preserve">Market</w:t>
            </w:r>
          </w:p>
        </w:tc>
        <w:tc>
          <w:tcPr>
            <w:tcW w:type="dxa" w:w="1760"/>
            <w:shd w:fill="EDEAE4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b/>
                <w:bCs/>
                <w:sz w:val="16"/>
                <w:szCs w:val="16"/>
              </w:rPr>
              <w:t xml:space="preserve">Value</w:t>
            </w:r>
          </w:p>
        </w:tc>
        <w:tc>
          <w:tcPr>
            <w:tcW w:type="dxa" w:w="2560"/>
            <w:shd w:fill="EDEAE4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b/>
                <w:bCs/>
                <w:sz w:val="16"/>
                <w:szCs w:val="16"/>
              </w:rPr>
              <w:t xml:space="preserve">Economics</w:t>
            </w:r>
          </w:p>
        </w:tc>
        <w:tc>
          <w:tcPr>
            <w:tcW w:type="dxa" w:w="3920"/>
            <w:shd w:fill="EDEAE4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b/>
                <w:bCs/>
                <w:sz w:val="16"/>
                <w:szCs w:val="16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TAM, labour value (EU+UK+US)</w:t>
            </w:r>
          </w:p>
        </w:tc>
        <w:tc>
          <w:tcPr>
            <w:tcW w:type="dxa" w:w="17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~€3.4bn/yr</w:t>
            </w:r>
          </w:p>
        </w:tc>
        <w:tc>
          <w:tcPr>
            <w:tcW w:type="dxa" w:w="25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Recommended rate card</w:t>
            </w:r>
          </w:p>
        </w:tc>
        <w:tc>
          <w:tcPr>
            <w:tcW w:type="dxa" w:w="392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€12k platform + €18k/Core Worker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SAM at stated ICP (100–500 emp)</w:t>
            </w:r>
          </w:p>
        </w:tc>
        <w:tc>
          <w:tcPr>
            <w:tcW w:type="dxa" w:w="17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~€117m — a 29x gap</w:t>
            </w:r>
          </w:p>
        </w:tc>
        <w:tc>
          <w:tcPr>
            <w:tcW w:type="dxa" w:w="25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Packages (Launch→Enterprise)</w:t>
            </w:r>
          </w:p>
        </w:tc>
        <w:tc>
          <w:tcPr>
            <w:tcW w:type="dxa" w:w="392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€30k → €108k ACV; customer ROI 2.6–3.6x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Beachhead ICP (DACH+Benelux)</w:t>
            </w:r>
          </w:p>
        </w:tc>
        <w:tc>
          <w:tcPr>
            <w:tcW w:type="dxa" w:w="17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~213 companies</w:t>
            </w:r>
          </w:p>
        </w:tc>
        <w:tc>
          <w:tcPr>
            <w:tcW w:type="dxa" w:w="25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Gross margin</w:t>
            </w:r>
          </w:p>
        </w:tc>
        <w:tc>
          <w:tcPr>
            <w:tcW w:type="dxa" w:w="392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60–69% steady state; 43–45% year 1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Year-3 SOM (12% pen., €60k ACV)</w:t>
            </w:r>
          </w:p>
        </w:tc>
        <w:tc>
          <w:tcPr>
            <w:tcW w:type="dxa" w:w="17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~€1.5m ARR</w:t>
            </w:r>
          </w:p>
        </w:tc>
        <w:tc>
          <w:tcPr>
            <w:tcW w:type="dxa" w:w="25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LTV/CAC ≈ 9.9x · payback ≈ 5 mo</w:t>
            </w:r>
          </w:p>
        </w:tc>
        <w:tc>
          <w:tcPr>
            <w:tcW w:type="dxa" w:w="392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Sales efficiency is not the constraint</w:t>
            </w:r>
          </w:p>
        </w:tc>
      </w:tr>
      <w:tr>
        <w:trPr>
          <w:cantSplit/>
        </w:trPr>
        <w:tc>
          <w:tcPr>
            <w:tcW w:type="dxa" w:w="25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Category captures of labour displaced</w:t>
            </w:r>
          </w:p>
        </w:tc>
        <w:tc>
          <w:tcPr>
            <w:tcW w:type="dxa" w:w="17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~1–3%</w:t>
            </w:r>
          </w:p>
        </w:tc>
        <w:tc>
          <w:tcPr>
            <w:tcW w:type="dxa" w:w="256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Break-even ≈ 63 customers</w:t>
            </w:r>
          </w:p>
        </w:tc>
        <w:tc>
          <w:tcPr>
            <w:tcW w:type="dxa" w:w="3920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14" w:before="14" w:line="216"/>
            </w:pPr>
            <w:r>
              <w:rPr>
                <w:sz w:val="16"/>
                <w:szCs w:val="16"/>
              </w:rPr>
              <w:t xml:space="preserve">= 30% of beachhead; next raise in 18–24 mo</w:t>
            </w:r>
          </w:p>
        </w:tc>
      </w:tr>
    </w:tbl>
    <w:p>
      <w:pPr>
        <w:spacing w:after="40" w:before="110"/>
      </w:pPr>
      <w:r>
        <w:rPr>
          <w:b/>
          <w:bCs/>
          <w:color w:val="1F3A5F"/>
          <w:sz w:val="19"/>
          <w:szCs w:val="19"/>
        </w:rPr>
        <w:t xml:space="preserve">COMPETITION (27 profiled: EU 8 · UK 4 · US 12 · other 3)</w:t>
      </w:r>
    </w:p>
    <w:p>
      <w:pPr>
        <w:spacing w:after="40" w:line="228"/>
      </w:pPr>
      <w:r>
        <w:rPr>
          <w:b/>
          <w:bCs/>
          <w:sz w:val="17"/>
          <w:szCs w:val="17"/>
        </w:rPr>
        <w:t xml:space="preserve">Nexcade (UK) is the critical threat</w:t>
      </w:r>
      <w:r>
        <w:rPr>
          <w:sz w:val="17"/>
          <w:szCs w:val="17"/>
        </w:rPr>
        <w:t xml:space="preserve"> — same thesis, US$8.5m, XPO/Zencargo logos at seed, founder is Sedna's ex-COO. </w:t>
      </w:r>
      <w:r>
        <w:rPr>
          <w:b/>
          <w:bCs/>
          <w:sz w:val="17"/>
          <w:szCs w:val="17"/>
        </w:rPr>
        <w:t xml:space="preserve">cargo.one owns distribution</w:t>
      </w:r>
      <w:r>
        <w:rPr>
          <w:sz w:val="17"/>
          <w:szCs w:val="17"/>
        </w:rPr>
        <w:t xml:space="preserve"> (28,000 forwarders on platform, AI-native OS, acquired Cargofive). </w:t>
      </w:r>
      <w:r>
        <w:rPr>
          <w:b/>
          <w:bCs/>
          <w:sz w:val="17"/>
          <w:szCs w:val="17"/>
        </w:rPr>
        <w:t xml:space="preserve">Cargofy</w:t>
      </w:r>
      <w:r>
        <w:rPr>
          <w:sz w:val="17"/>
          <w:szCs w:val="17"/>
        </w:rPr>
        <w:t xml:space="preserve"> is 10x ahead commercially (US$10m ARR, 2,000 customers) but sells to carriers/dispatch. US capital (HappyRobot $62m, Augment $85m, Raft $47.7m) hasn't entered EU forwarding — a time-limited gap. </w:t>
      </w:r>
      <w:r>
        <w:rPr>
          <w:b/>
          <w:bCs/>
          <w:sz w:val="17"/>
          <w:szCs w:val="17"/>
        </w:rPr>
        <w:t xml:space="preserve">Horizontals (Copilot Studio, n8n, UiPath, DIY)</w:t>
      </w:r>
      <w:r>
        <w:rPr>
          <w:sz w:val="17"/>
          <w:szCs w:val="17"/>
        </w:rPr>
        <w:t xml:space="preserve"> compete in the sales cycle, not on outcome: concede internal Q&amp;A, then argue maintenance-is-the-product — in-house AI fails 80–95% of the time (RAND, MIT). Only 2 of 27 vendors publish pricing; hybrid base+usage is the category's direction (41% of AI market). Nobody covers customs — the one workflow gap, with the EU Customs Reform 2026 as forcing function.</w:t>
      </w:r>
    </w:p>
    <w:p>
      <w:pPr>
        <w:spacing w:after="40" w:before="110"/>
      </w:pPr>
      <w:r>
        <w:rPr>
          <w:b/>
          <w:bCs/>
          <w:color w:val="1F3A5F"/>
          <w:sz w:val="19"/>
          <w:szCs w:val="19"/>
        </w:rPr>
        <w:t xml:space="preserve">THE CORE FINDING — three independent models converge</w:t>
      </w:r>
    </w:p>
    <w:p>
      <w:pPr>
        <w:shd w:fill="FFF4CC" w:color="auto" w:val="clear"/>
        <w:spacing w:after="50" w:line="228"/>
      </w:pPr>
      <w:r>
        <w:rPr>
          <w:sz w:val="17"/>
          <w:szCs w:val="17"/>
        </w:rPr>
        <w:t xml:space="preserve">The beachhead ICP cannot carry the company. Market sizing: only a few hundred addressable firms. Unit economics: break-even needs 30% of them — 2.5x the realistic penetration. Whitespace: the fixes exist — widen the ICP (self-serve product for the sub-100-employee long tail; EU road freight via the Timocom integration) or raise ACV (customs, multilingual voice, decision-data benchmarking), plus two cheap compounding wins: a certified CargoWise/WiseTech channel and EU-AI-Act-compliant positioning. 5U AI's existing assets already sit at the mouth of five of the seven whitespace areas — this is a marketing problem more than a building problem.</w:t>
      </w:r>
    </w:p>
    <w:p>
      <w:pPr>
        <w:spacing w:after="40" w:before="110"/>
      </w:pPr>
      <w:r>
        <w:rPr>
          <w:b/>
          <w:bCs/>
          <w:color w:val="1F3A5F"/>
          <w:sz w:val="19"/>
          <w:szCs w:val="19"/>
        </w:rPr>
        <w:t xml:space="preserve">TOP 5 ACTIONS (if advising 5U AI)</w:t>
      </w:r>
    </w:p>
    <w:p>
      <w:pPr>
        <w:spacing w:after="40" w:line="228"/>
      </w:pPr>
      <w:r>
        <w:rPr>
          <w:b/>
          <w:bCs/>
          <w:sz w:val="17"/>
          <w:szCs w:val="17"/>
        </w:rPr>
        <w:t xml:space="preserve">1 </w:t>
      </w:r>
      <w:r>
        <w:rPr>
          <w:sz w:val="17"/>
          <w:szCs w:val="17"/>
        </w:rPr>
        <w:t xml:space="preserve">Publish pricing before Nexcade does — first to publish sets the anchor for every DACH forwarder.  </w:t>
      </w:r>
      <w:r>
        <w:rPr>
          <w:b/>
          <w:bCs/>
          <w:sz w:val="17"/>
          <w:szCs w:val="17"/>
        </w:rPr>
        <w:t xml:space="preserve">2 </w:t>
      </w:r>
      <w:r>
        <w:rPr>
          <w:sz w:val="17"/>
          <w:szCs w:val="17"/>
        </w:rPr>
        <w:t xml:space="preserve">Add a ~€4.5k per-additional-Worker deployment fee — every expansion Worker currently ships ~€4.8k of unbilled FDE time.  </w:t>
      </w:r>
      <w:r>
        <w:rPr>
          <w:b/>
          <w:bCs/>
          <w:sz w:val="17"/>
          <w:szCs w:val="17"/>
        </w:rPr>
        <w:t xml:space="preserve">3 </w:t>
      </w:r>
      <w:r>
        <w:rPr>
          <w:sz w:val="17"/>
          <w:szCs w:val="17"/>
        </w:rPr>
        <w:t xml:space="preserve">Turn the WiseTech + Timocom integrations into a marketed partner channel — every scaled rival has one; 5U AI has none.  </w:t>
      </w:r>
      <w:r>
        <w:rPr>
          <w:b/>
          <w:bCs/>
          <w:sz w:val="17"/>
          <w:szCs w:val="17"/>
        </w:rPr>
        <w:t xml:space="preserve">4 </w:t>
      </w:r>
      <w:r>
        <w:rPr>
          <w:sz w:val="17"/>
          <w:szCs w:val="17"/>
        </w:rPr>
        <w:t xml:space="preserve">Buy a named reference logo (up to 20% discount, max 3 accounts) and publish comparison pages — Vooma's playbook, near-zero cost.  </w:t>
      </w:r>
      <w:r>
        <w:rPr>
          <w:b/>
          <w:bCs/>
          <w:sz w:val="17"/>
          <w:szCs w:val="17"/>
        </w:rPr>
        <w:t xml:space="preserve">5 </w:t>
      </w:r>
      <w:r>
        <w:rPr>
          <w:sz w:val="17"/>
          <w:szCs w:val="17"/>
        </w:rPr>
        <w:t xml:space="preserve">Fix the contract before it costs deals: liability to 1x annual fees, CPI+3% increase cap, 99.5% SLA with credits, and narrow clause 10.3 (data "for its own benefit generally") with a cross-customer-training opt-out.</w:t>
      </w:r>
    </w:p>
    <w:p>
      <w:pPr>
        <w:spacing w:after="40" w:before="110"/>
      </w:pPr>
      <w:r>
        <w:rPr>
          <w:b/>
          <w:bCs/>
          <w:color w:val="1F3A5F"/>
          <w:sz w:val="19"/>
          <w:szCs w:val="19"/>
        </w:rPr>
        <w:t xml:space="preserve">TOP RISKS</w:t>
      </w:r>
    </w:p>
    <w:p>
      <w:pPr>
        <w:spacing w:after="40" w:line="228"/>
      </w:pPr>
      <w:r>
        <w:rPr>
          <w:sz w:val="17"/>
          <w:szCs w:val="17"/>
        </w:rPr>
        <w:t xml:space="preserve">DPA names two different hosts (Northflank vs Railway) — sloppy where diligence looks first · clause 10.3 + Hugging Face fine-tuning = does one customer's data train rivals' Workers? · no SOC 2 / ISO 27001 / SLA against a 2-year lock-in · portal automation is the fragile load-bearing component (ask for live escalation metrics) · 15x ROI marketing claim invites scrutiny the 2.6–3.6x reality would survive.</w:t>
      </w:r>
    </w:p>
    <w:p>
      <w:pPr>
        <w:pBdr>
          <w:top w:val="single" w:color="C9C4BC" w:sz="4" w:space="3"/>
        </w:pBdr>
        <w:spacing w:before="60"/>
      </w:pPr>
      <w:r>
        <w:rPr>
          <w:i/>
          <w:iCs/>
          <w:color w:val="5A5A5A"/>
          <w:sz w:val="14"/>
          <w:szCs w:val="14"/>
        </w:rPr>
        <w:t xml:space="preserve">Companion deliverables: 5U-AI-Research-Dossier.docx (25 pp, 17 sections) · 5U-AI-Competitor-Analysis.xlsx (13 tabs, 170 live formulas). All figures marked as assumption vs sourced fact therein.</w:t>
      </w:r>
    </w:p>
    <w:sectPr>
      <w:pgSz w:w="12240" w:h="15840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5U AI — Executive Summary</dc:title>
  <dc:creator>5U AI research</dc:creator>
  <cp:lastModifiedBy>Un-named</cp:lastModifiedBy>
  <cp:revision>1</cp:revision>
  <dcterms:created xsi:type="dcterms:W3CDTF">2026-07-30T19:07:17.629Z</dcterms:created>
  <dcterms:modified xsi:type="dcterms:W3CDTF">2026-07-30T19:07:17.631Z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