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5U AI — IDEAL CUSTOMER PROFILE (ICP) REPORT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30 July 2026 · Derived from 5U-AI-Research-Dossier.docx (25 pp), 5U-AI-Competitor-Analysis.xlsx (“GTM and ICP” tab) and 5U-AI-Executive-Summary.docx. Figures marked as assumptions vs sourced facts in the dossier.</w:t>
      </w:r>
    </w:p>
    <w:p>
      <w:pPr>
        <w:pStyle w:val="Heading1"/>
        <w:spacing w:after="120" w:before="300"/>
      </w:pPr>
      <w:r>
        <w:rPr>
          <w:color w:val="1F3864"/>
        </w:rPr>
        <w:t xml:space="preserve">1. ICP definition</w:t>
      </w:r>
    </w:p>
    <w:p>
      <w:pPr>
        <w:spacing w:after="120"/>
      </w:pPr>
      <w:r>
        <w:rPr>
          <w:b/>
          <w:bCs/>
        </w:rPr>
        <w:t xml:space="preserve">Core ICP (5U AI’s stated target): </w:t>
      </w:r>
      <w:r>
        <w:t xml:space="preserve">mid-sized European freight forwarders, 100–500 employees, running air &amp; ocean forwarding operations. Job specs quietly widen this to carriers and 3PLs, but the funded beachhead is forwarders.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7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Segment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Freight forwarders (air &amp; ocean); secondary: carriers, 3PLs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6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100–500 employees (the narrowest ICP band of any funded player)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Geography (beachhead)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DACH + Benelux (~28% of the EU forwarding base)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Geography (stated ICP)</w:t>
            </w:r>
          </w:p>
        </w:tc>
        <w:tc>
          <w:tcPr>
            <w:tcW w:type="dxa" w:w="6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 + UK + US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 environment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CargoWise (WiseTech), Timocom, Outlook/Gmail, Teams/Slack, portals, EDI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Buying trigger</w:t>
            </w:r>
          </w:p>
        </w:tc>
        <w:tc>
          <w:tcPr>
            <w:tcW w:type="dxa" w:w="6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Ops teams drowning in many-touch, per-shipment work: rate management and track &amp; trace (the candid FAQ beachhead); invoice reconciliation and after-hours support secondary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Economic anchor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German ops FTE ≈ €62k/yr — anchor price on labour released, not software comparables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Implied ACV</w:t>
            </w:r>
          </w:p>
        </w:tc>
        <w:tc>
          <w:tcPr>
            <w:tcW w:type="dxa" w:w="67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€10–50k today; recommended €30k (Launch) → €108k (Enterprise); customer ROI 2.6–3.6x</w:t>
            </w:r>
          </w:p>
        </w:tc>
      </w:tr>
    </w:tbl>
    <w:p>
      <w:pPr>
        <w:pStyle w:val="Heading2"/>
        <w:spacing w:after="100" w:before="240"/>
      </w:pPr>
      <w:r>
        <w:rPr>
          <w:color w:val="1F3864"/>
        </w:rPr>
        <w:t xml:space="preserve">Buyer personas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Managing Director / owner (economic buyer). </w:t>
      </w:r>
      <w:r>
        <w:t xml:space="preserve">Mid-sized European logistics companies are frequently founder- or family-run; both public testimonials are from Managing Directors. Buys on peer proof and labour-cost ROI.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Head of Operations (champion). </w:t>
      </w:r>
      <w:r>
        <w:t xml:space="preserve">Owns automation rate — the customer-health metric 5U AI itself tracks. Feels the “many touches and clicks per shipment” pain daily.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CFO (approver). </w:t>
      </w:r>
      <w:r>
        <w:t xml:space="preserve">Needs a predictable invoice — hybrid platform + per-Worker pricing, not pure per-action. Will compute the €2.00/transaction implied price; have the answer ready.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IT / technical evaluator (blocker). </w:t>
      </w:r>
      <w:r>
        <w:t xml:space="preserve">Will propose Copilot Studio / n8n / DIY. Never argue the tool is bad — argue the demo is 20% of the job and maintenance is the product (in-house AI fails 80–95% of the time — RAND, MIT).</w:t>
      </w:r>
    </w:p>
    <w:p>
      <w:pPr>
        <w:pStyle w:val="Heading1"/>
        <w:spacing w:after="120" w:before="300"/>
      </w:pPr>
      <w:r>
        <w:rPr>
          <w:color w:val="1F3864"/>
        </w:rPr>
        <w:t xml:space="preserve">2. How many of them exist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296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8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 / value</w:t>
            </w:r>
          </w:p>
        </w:tc>
        <w:tc>
          <w:tcPr>
            <w:tcW w:type="dxa" w:w="29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Beachhead ICP (DACH + Benelux, 100–500 emp)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~213 companies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market 5U AI can actually sell into today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ICP (EU + UK + US, 100–500 emp)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~1,479 companies (4–6% of ~36,000 forwarders)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 ≈ €117m/yr at mature €75–85k ACV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Widened to 50+ employees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Lifts SAM to ~€156m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Sub-100-employee long tail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Majority of ~19,000 EU forwarders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Excluded from every funded player’s ICP — the self-serve whitespace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Year-3 SOM (12% pen. of beachhead, €60k ACV)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~€1.5m ARR</w:t>
            </w:r>
          </w:p>
        </w:tc>
        <w:tc>
          <w:tcPr>
            <w:tcW w:type="dxa" w:w="2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Matches 5U AI’s own “toward €MM ARR” framing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Break-even</w:t>
            </w:r>
          </w:p>
        </w:tc>
        <w:tc>
          <w:tcPr>
            <w:tcW w:type="dxa" w:w="2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~63 customers = ~30% of beachhead</w:t>
            </w:r>
          </w:p>
        </w:tc>
        <w:tc>
          <w:tcPr>
            <w:tcW w:type="dxa" w:w="29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~2.5x realistic penetration — the core finding</w:t>
            </w:r>
          </w:p>
        </w:tc>
      </w:tr>
    </w:tbl>
    <w:p>
      <w:pPr>
        <w:spacing w:after="120"/>
      </w:pPr>
      <w:r>
        <w:rPr>
          <w:b/>
          <w:bCs/>
        </w:rPr>
        <w:t xml:space="preserve">The core finding: </w:t>
      </w:r>
      <w:r>
        <w:t xml:space="preserve">the ICP is the binding constraint, not the technology. Three independent models (market sizing, unit economics, whitespace) converge on the same conclusion — widen the ICP or raise ACV, because ~213 beachhead companies cannot carry the company to profitability.</w:t>
      </w:r>
    </w:p>
    <w:p>
      <w:pPr>
        <w:pStyle w:val="Heading1"/>
        <w:spacing w:after="120" w:before="300"/>
      </w:pPr>
      <w:r>
        <w:rPr>
          <w:color w:val="1F3864"/>
        </w:rPr>
        <w:t xml:space="preserve">3. Channels — how to reach this ICP</w:t>
      </w:r>
    </w:p>
    <w:p>
      <w:pPr>
        <w:spacing w:after="120"/>
      </w:pPr>
      <w:r>
        <w:t xml:space="preserve">Ranked by leverage, from the GTM analysis of 16 funded competitors (five archetypes identified: forward-deployed enterprise, product-led self-serve, two-sided marketplace, partnership-as-distribution, comparison-page demand capture).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616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616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/ how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Partner channel: certified CargoWise (WiseTech) integration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Highest-leverage motion observed; every scaled rival has a partner channel, 5U AI has none despite the integration being built. Raft wins deals through its CargoWise page. “Certified agentic layer for CargoWise” position is unclaimed.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Timocom marketplace</w:t>
            </w:r>
          </w:p>
        </w:tc>
        <w:tc>
          <w:tcPr>
            <w:tcW w:type="dxa" w:w="6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Dominant EU road-freight exchange, already integrated, unmarketed. Also the entry point to the EU road forwarder segment no funded player names.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Founder-led outbound + Founding GTM hire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current motion (zero marketing spend to date). Works because forward-deployed delivery is capacity-bound anyway (1 FDE ≈ 10 customers). Sell a paid 3-month pilot credited against year one — not a free trial.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Peer proof: named reference logos</w:t>
            </w:r>
          </w:p>
        </w:tc>
        <w:tc>
          <w:tcPr>
            <w:tcW w:type="dxa" w:w="6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 buys on peer proof; Nexcade lists XPO/Zencargo at seed vs 5U AI’s one logo (TCI). Buy references: up to 20% discount, max 3 accounts.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Comparison pages + published pricing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Vooma’s playbook — head-to-head pages capture buyers already in evaluation at near-zero cost. Only 2 of 27 vendors publish pricing; first to publish sets the anchor for every DACH forwarder (do it before Nexcade).</w:t>
            </w:r>
          </w:p>
        </w:tc>
      </w:tr>
      <w:tr>
        <w:tc>
          <w:tcPr>
            <w:tcW w:type="dxa" w:w="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 engine</w:t>
            </w:r>
          </w:p>
        </w:tc>
        <w:tc>
          <w:tcPr>
            <w:tcW w:type="dxa" w:w="616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 blog posts total today vs Reform’s podcast-and-case-study engine. Cheap, doesn’t require the commercial hire first. EU-AI-Act-compliant positioning is a free differentiator.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(Later) Product-led self-serve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only economic way to reach the sub-100-employee long tail; “self-serve sign-up” is No/Unknown for every agentic vendor — open whitespace, but a product investment, not a marketing switch.</w:t>
            </w:r>
          </w:p>
        </w:tc>
      </w:tr>
    </w:tbl>
    <w:p>
      <w:pPr>
        <w:spacing w:after="120"/>
      </w:pPr>
      <w:r>
        <w:rPr>
          <w:b/>
          <w:bCs/>
        </w:rPr>
        <w:t xml:space="preserve">Channel risk: </w:t>
      </w:r>
      <w:r>
        <w:t xml:space="preserve">cargo.one owns distribution — 28,000 forwarders already transact on its platform and it does not need to win a sales cycle to reach 5U AI’s prospects. Nexcade (same thesis, US$8.5m raised) is the critical competitive threat in the same lane.</w:t>
      </w:r>
    </w:p>
    <w:p>
      <w:pPr>
        <w:pStyle w:val="Heading2"/>
        <w:spacing w:after="100" w:before="240"/>
      </w:pPr>
      <w:r>
        <w:rPr>
          <w:color w:val="1F3864"/>
        </w:rPr>
        <w:t xml:space="preserve">Product-side channels (what the AI Workers operate on)</w:t>
      </w:r>
    </w:p>
    <w:p>
      <w:pPr>
        <w:spacing w:after="120"/>
      </w:pPr>
      <w:r>
        <w:t xml:space="preserve">Distinct from acquisition channels: the Workers themselves live in email, voice, SMS, chat and portal logins — 24/7, multilingual. Named integrations: Gmail, Outlook, Slack, Teams, WhatsApp, WiseTech, Timocom. Voice is claimed but demonstrated last — the US cohort all has voice; the EU forwarding cohort doesn’t — a differentiation gap worth closing.</w:t>
      </w:r>
    </w:p>
    <w:p>
      <w:pPr>
        <w:pStyle w:val="Heading1"/>
        <w:spacing w:after="120" w:before="300"/>
      </w:pPr>
      <w:r>
        <w:rPr>
          <w:color w:val="1F3864"/>
        </w:rPr>
        <w:t xml:space="preserve">4. ICP expansion options (from the whitespace analysis)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Down-market: </w:t>
      </w:r>
      <w:r>
        <w:t xml:space="preserve">self-serve product for the sub-100-employee tail — the majority of EU forwarders, excluded by every funded player.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Adjacent segment: </w:t>
      </w:r>
      <w:r>
        <w:t xml:space="preserve">EU road freight via the existing Timocom integration — a “Road Charter Worker” would face no direct funded competitor today.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Raise ACV in-segment: </w:t>
      </w:r>
      <w:r>
        <w:t xml:space="preserve">customs (the one workflow no vendor covers, with EU Customs Reform 2026 as forcing function), multilingual voice, decision-data benchmarking.</w:t>
      </w:r>
    </w:p>
    <w:p>
      <w:pPr>
        <w:spacing w:after="120"/>
      </w:pPr>
      <w:r>
        <w:rPr>
          <w:i/>
          <w:iCs/>
        </w:rPr>
        <w:t xml:space="preserve">Five of the seven whitespace areas sit at the mouth of assets 5U AI already has — this is a marketing problem more than a building problem.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2026-07-30T21:10:28.531Z</dcterms:created>
  <dcterms:modified xsi:type="dcterms:W3CDTF">2026-07-30T21:10:28.532Z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