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5U AI — MECE GTM STRATEGY &amp; STRESS-TEST SYSTEM</w:t>
      </w:r>
    </w:p>
    <w:p>
      <w:pPr>
        <w:spacing w:after="120"/>
      </w:pPr>
      <w:r>
        <w:rPr>
          <w:i/>
          <w:iCs/>
          <w:color w:val="666666"/>
          <w:sz w:val="18"/>
          <w:szCs w:val="18"/>
        </w:rPr>
        <w:t xml:space="preserve">30 July 2026 · Companion to 5U-AI-Scenario-Model.xlsx (live formulas — every number below recalculates there) and the ICP Report, Research Dossier, Competitor Analysis and Executive Summary. All monetary figures are modelled assumptions, not audited financials.</w:t>
      </w:r>
    </w:p>
    <w:p>
      <w:pPr>
        <w:pStyle w:val="Heading1"/>
        <w:spacing w:after="120" w:before="300"/>
      </w:pPr>
      <w:r>
        <w:rPr>
          <w:color w:val="1F3864"/>
        </w:rPr>
        <w:t xml:space="preserve">1. The system in one page</w:t>
      </w:r>
    </w:p>
    <w:p>
      <w:pPr>
        <w:spacing w:after="120"/>
      </w:pPr>
      <w:r>
        <w:t xml:space="preserve">The decision space is cut along two independent, non-overlapping axes:</w:t>
      </w:r>
    </w:p>
    <w:p>
      <w:pPr>
        <w:pStyle w:val="ListParagraph"/>
        <w:numPr>
          <w:ilvl w:val="0"/>
          <w:numId w:val="2"/>
        </w:numPr>
        <w:spacing w:after="80"/>
      </w:pPr>
      <w:r>
        <w:rPr>
          <w:b/>
          <w:bCs/>
        </w:rPr>
        <w:t xml:space="preserve">Strategy scenarios (internal, controllable) — </w:t>
      </w:r>
      <w:r>
        <w:t xml:space="preserve">six MECE cases S0–S5, each adding exactly one growth lever to the base. Levers come from the whitespace analysis and are collectively exhaustive over the only three ways ARR can grow: more penetration of the core pool, new customer pools, or higher ACV.</w:t>
      </w:r>
    </w:p>
    <w:p>
      <w:pPr>
        <w:pStyle w:val="ListParagraph"/>
        <w:numPr>
          <w:ilvl w:val="0"/>
          <w:numId w:val="2"/>
        </w:numPr>
        <w:spacing w:after="80"/>
      </w:pPr>
      <w:r>
        <w:rPr>
          <w:b/>
          <w:bCs/>
        </w:rPr>
        <w:t xml:space="preserve">Environment shocks (external, uncontrollable) — </w:t>
      </w:r>
      <w:r>
        <w:t xml:space="preserve">five orthogonal stress cases mapped to the value drivers: price (competition), demand (distribution loss), churn (retention), capacity (FDE hiring), and all-at-once.</w:t>
      </w:r>
    </w:p>
    <w:p>
      <w:pPr>
        <w:spacing w:after="120"/>
      </w:pPr>
      <w:r>
        <w:t xml:space="preserve">Every strategy is evaluated under every shock — a 6×6 grid with no gaps and no double-counting. The grid lives on the ‘Stress Tests’ tab of the workbook; change any blue assumption and it re-runs.</w:t>
      </w:r>
    </w:p>
    <w:p>
      <w:pPr>
        <w:pStyle w:val="Heading1"/>
        <w:spacing w:after="120" w:before="300"/>
      </w:pPr>
      <w:r>
        <w:rPr>
          <w:color w:val="1F3864"/>
        </w:rPr>
        <w:t xml:space="preserve">2. MECE decomposition of growth</w:t>
      </w:r>
    </w:p>
    <w:p>
      <w:pPr>
        <w:spacing w:after="120"/>
      </w:pPr>
      <w:r>
        <w:rPr>
          <w:b/>
          <w:bCs/>
        </w:rPr>
        <w:t xml:space="preserve">Level 1: </w:t>
      </w:r>
      <w:r>
        <w:t xml:space="preserve">ARR = Customers × ACV, constrained by FDE delivery capacity (1 FDE ≈ 10 accounts — the binding operational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shd w:fill="1F3864" w:val="clear"/>
            <w:tcMar>
              <w:top w:type="dxa" w:w="60"/>
              <w:left w:type="dxa" w:w="100"/>
              <w:bottom w:type="dxa" w:w="60"/>
              <w:right w:type="dxa" w:w="100"/>
            </w:tcMar>
          </w:tcPr>
          <w:p>
            <w:r>
              <w:rPr>
                <w:b/>
                <w:bCs/>
                <w:color w:val="FFFFFF"/>
                <w:sz w:val="18"/>
                <w:szCs w:val="18"/>
              </w:rPr>
              <w:t xml:space="preserve">Lever branch</w:t>
            </w:r>
          </w:p>
        </w:tc>
        <w:tc>
          <w:tcPr>
            <w:tcW w:type="dxa" w:w="5560"/>
            <w:shd w:fill="1F3864" w:val="clear"/>
            <w:tcMar>
              <w:top w:type="dxa" w:w="60"/>
              <w:left w:type="dxa" w:w="100"/>
              <w:bottom w:type="dxa" w:w="60"/>
              <w:right w:type="dxa" w:w="100"/>
            </w:tcMar>
          </w:tcPr>
          <w:p>
            <w:r>
              <w:rPr>
                <w:b/>
                <w:bCs/>
                <w:color w:val="FFFFFF"/>
                <w:sz w:val="18"/>
                <w:szCs w:val="18"/>
              </w:rPr>
              <w:t xml:space="preserve">Options (mutually exclusive)</w:t>
            </w:r>
          </w:p>
        </w:tc>
        <w:tc>
          <w:tcPr>
            <w:tcW w:type="dxa" w:w="1600"/>
            <w:shd w:fill="1F3864" w:val="clear"/>
            <w:tcMar>
              <w:top w:type="dxa" w:w="60"/>
              <w:left w:type="dxa" w:w="100"/>
              <w:bottom w:type="dxa" w:w="60"/>
              <w:right w:type="dxa" w:w="100"/>
            </w:tcMar>
          </w:tcPr>
          <w:p>
            <w:r>
              <w:rPr>
                <w:b/>
                <w:bCs/>
                <w:color w:val="FFFFFF"/>
                <w:sz w:val="18"/>
                <w:szCs w:val="18"/>
              </w:rPr>
              <w:t xml:space="preserve">Scenario</w:t>
            </w:r>
          </w:p>
        </w:tc>
      </w:tr>
      <w:tr>
        <w:tc>
          <w:tcPr>
            <w:tcW w:type="dxa" w:w="2200"/>
            <w:tcMar>
              <w:top w:type="dxa" w:w="60"/>
              <w:left w:type="dxa" w:w="100"/>
              <w:bottom w:type="dxa" w:w="60"/>
              <w:right w:type="dxa" w:w="100"/>
            </w:tcMar>
          </w:tcPr>
          <w:p>
            <w:r>
              <w:rPr>
                <w:b w:val="false"/>
                <w:bCs w:val="false"/>
                <w:sz w:val="18"/>
                <w:szCs w:val="18"/>
              </w:rPr>
              <w:t xml:space="preserve">Volume — same pool</w:t>
            </w:r>
          </w:p>
        </w:tc>
        <w:tc>
          <w:tcPr>
            <w:tcW w:type="dxa" w:w="5560"/>
            <w:tcMar>
              <w:top w:type="dxa" w:w="60"/>
              <w:left w:type="dxa" w:w="100"/>
              <w:bottom w:type="dxa" w:w="60"/>
              <w:right w:type="dxa" w:w="100"/>
            </w:tcMar>
          </w:tcPr>
          <w:p>
            <w:r>
              <w:rPr>
                <w:b w:val="false"/>
                <w:bCs w:val="false"/>
                <w:sz w:val="18"/>
                <w:szCs w:val="18"/>
              </w:rPr>
              <w:t xml:space="preserve">Lift beachhead penetration via partner channel (CargoWise certification, Timocom listing)</w:t>
            </w:r>
          </w:p>
        </w:tc>
        <w:tc>
          <w:tcPr>
            <w:tcW w:type="dxa" w:w="1600"/>
            <w:tcMar>
              <w:top w:type="dxa" w:w="60"/>
              <w:left w:type="dxa" w:w="100"/>
              <w:bottom w:type="dxa" w:w="60"/>
              <w:right w:type="dxa" w:w="100"/>
            </w:tcMar>
          </w:tcPr>
          <w:p>
            <w:r>
              <w:rPr>
                <w:b w:val="false"/>
                <w:bCs w:val="false"/>
                <w:sz w:val="18"/>
                <w:szCs w:val="18"/>
              </w:rPr>
              <w:t xml:space="preserve">S1</w:t>
            </w:r>
          </w:p>
        </w:tc>
      </w:tr>
      <w:tr>
        <w:tc>
          <w:tcPr>
            <w:tcW w:type="dxa" w:w="2200"/>
            <w:shd w:fill="F2F2F2" w:val="clear"/>
            <w:tcMar>
              <w:top w:type="dxa" w:w="60"/>
              <w:left w:type="dxa" w:w="100"/>
              <w:bottom w:type="dxa" w:w="60"/>
              <w:right w:type="dxa" w:w="100"/>
            </w:tcMar>
          </w:tcPr>
          <w:p>
            <w:r>
              <w:rPr>
                <w:b w:val="false"/>
                <w:bCs w:val="false"/>
                <w:sz w:val="18"/>
                <w:szCs w:val="18"/>
              </w:rPr>
              <w:t xml:space="preserve">Volume — new pools</w:t>
            </w:r>
          </w:p>
        </w:tc>
        <w:tc>
          <w:tcPr>
            <w:tcW w:type="dxa" w:w="5560"/>
            <w:shd w:fill="F2F2F2" w:val="clear"/>
            <w:tcMar>
              <w:top w:type="dxa" w:w="60"/>
              <w:left w:type="dxa" w:w="100"/>
              <w:bottom w:type="dxa" w:w="60"/>
              <w:right w:type="dxa" w:w="100"/>
            </w:tcMar>
          </w:tcPr>
          <w:p>
            <w:r>
              <w:rPr>
                <w:b w:val="false"/>
                <w:bCs w:val="false"/>
                <w:sz w:val="18"/>
                <w:szCs w:val="18"/>
              </w:rPr>
              <w:t xml:space="preserve">Sub-100-employee tail via self-serve product</w:t>
            </w:r>
          </w:p>
        </w:tc>
        <w:tc>
          <w:tcPr>
            <w:tcW w:type="dxa" w:w="1600"/>
            <w:shd w:fill="F2F2F2" w:val="clear"/>
            <w:tcMar>
              <w:top w:type="dxa" w:w="60"/>
              <w:left w:type="dxa" w:w="100"/>
              <w:bottom w:type="dxa" w:w="60"/>
              <w:right w:type="dxa" w:w="100"/>
            </w:tcMar>
          </w:tcPr>
          <w:p>
            <w:r>
              <w:rPr>
                <w:b w:val="false"/>
                <w:bCs w:val="false"/>
                <w:sz w:val="18"/>
                <w:szCs w:val="18"/>
              </w:rPr>
              <w:t xml:space="preserve">S3</w:t>
            </w:r>
          </w:p>
        </w:tc>
      </w:tr>
      <w:tr>
        <w:tc>
          <w:tcPr>
            <w:tcW w:type="dxa" w:w="2200"/>
            <w:tcMar>
              <w:top w:type="dxa" w:w="60"/>
              <w:left w:type="dxa" w:w="100"/>
              <w:bottom w:type="dxa" w:w="60"/>
              <w:right w:type="dxa" w:w="100"/>
            </w:tcMar>
          </w:tcPr>
          <w:p>
            <w:r>
              <w:rPr>
                <w:b w:val="false"/>
                <w:bCs w:val="false"/>
                <w:sz w:val="18"/>
                <w:szCs w:val="18"/>
              </w:rPr>
              <w:t xml:space="preserve">Volume — new pools</w:t>
            </w:r>
          </w:p>
        </w:tc>
        <w:tc>
          <w:tcPr>
            <w:tcW w:type="dxa" w:w="5560"/>
            <w:tcMar>
              <w:top w:type="dxa" w:w="60"/>
              <w:left w:type="dxa" w:w="100"/>
              <w:bottom w:type="dxa" w:w="60"/>
              <w:right w:type="dxa" w:w="100"/>
            </w:tcMar>
          </w:tcPr>
          <w:p>
            <w:r>
              <w:rPr>
                <w:b w:val="false"/>
                <w:bCs w:val="false"/>
                <w:sz w:val="18"/>
                <w:szCs w:val="18"/>
              </w:rPr>
              <w:t xml:space="preserve">EU road forwarders via Timocom — Road Charter Worker</w:t>
            </w:r>
          </w:p>
        </w:tc>
        <w:tc>
          <w:tcPr>
            <w:tcW w:type="dxa" w:w="1600"/>
            <w:tcMar>
              <w:top w:type="dxa" w:w="60"/>
              <w:left w:type="dxa" w:w="100"/>
              <w:bottom w:type="dxa" w:w="60"/>
              <w:right w:type="dxa" w:w="100"/>
            </w:tcMar>
          </w:tcPr>
          <w:p>
            <w:r>
              <w:rPr>
                <w:b w:val="false"/>
                <w:bCs w:val="false"/>
                <w:sz w:val="18"/>
                <w:szCs w:val="18"/>
              </w:rPr>
              <w:t xml:space="preserve">S4</w:t>
            </w:r>
          </w:p>
        </w:tc>
      </w:tr>
      <w:tr>
        <w:tc>
          <w:tcPr>
            <w:tcW w:type="dxa" w:w="2200"/>
            <w:shd w:fill="F2F2F2" w:val="clear"/>
            <w:tcMar>
              <w:top w:type="dxa" w:w="60"/>
              <w:left w:type="dxa" w:w="100"/>
              <w:bottom w:type="dxa" w:w="60"/>
              <w:right w:type="dxa" w:w="100"/>
            </w:tcMar>
          </w:tcPr>
          <w:p>
            <w:r>
              <w:rPr>
                <w:b w:val="false"/>
                <w:bCs w:val="false"/>
                <w:sz w:val="18"/>
                <w:szCs w:val="18"/>
              </w:rPr>
              <w:t xml:space="preserve">Price — higher ACV</w:t>
            </w:r>
          </w:p>
        </w:tc>
        <w:tc>
          <w:tcPr>
            <w:tcW w:type="dxa" w:w="5560"/>
            <w:shd w:fill="F2F2F2" w:val="clear"/>
            <w:tcMar>
              <w:top w:type="dxa" w:w="60"/>
              <w:left w:type="dxa" w:w="100"/>
              <w:bottom w:type="dxa" w:w="60"/>
              <w:right w:type="dxa" w:w="100"/>
            </w:tcMar>
          </w:tcPr>
          <w:p>
            <w:r>
              <w:rPr>
                <w:b w:val="false"/>
                <w:bCs w:val="false"/>
                <w:sz w:val="18"/>
                <w:szCs w:val="18"/>
              </w:rPr>
              <w:t xml:space="preserve">Customs Worker + multilingual voice + per-additional-Worker deployment fee (€60k → €85k)</w:t>
            </w:r>
          </w:p>
        </w:tc>
        <w:tc>
          <w:tcPr>
            <w:tcW w:type="dxa" w:w="1600"/>
            <w:shd w:fill="F2F2F2" w:val="clear"/>
            <w:tcMar>
              <w:top w:type="dxa" w:w="60"/>
              <w:left w:type="dxa" w:w="100"/>
              <w:bottom w:type="dxa" w:w="60"/>
              <w:right w:type="dxa" w:w="100"/>
            </w:tcMar>
          </w:tcPr>
          <w:p>
            <w:r>
              <w:rPr>
                <w:b w:val="false"/>
                <w:bCs w:val="false"/>
                <w:sz w:val="18"/>
                <w:szCs w:val="18"/>
              </w:rPr>
              <w:t xml:space="preserve">S2</w:t>
            </w:r>
          </w:p>
        </w:tc>
      </w:tr>
      <w:tr>
        <w:tc>
          <w:tcPr>
            <w:tcW w:type="dxa" w:w="2200"/>
            <w:tcMar>
              <w:top w:type="dxa" w:w="60"/>
              <w:left w:type="dxa" w:w="100"/>
              <w:bottom w:type="dxa" w:w="60"/>
              <w:right w:type="dxa" w:w="100"/>
            </w:tcMar>
          </w:tcPr>
          <w:p>
            <w:r>
              <w:rPr>
                <w:b w:val="false"/>
                <w:bCs w:val="false"/>
                <w:sz w:val="18"/>
                <w:szCs w:val="18"/>
              </w:rPr>
              <w:t xml:space="preserve">All levers together</w:t>
            </w:r>
          </w:p>
        </w:tc>
        <w:tc>
          <w:tcPr>
            <w:tcW w:type="dxa" w:w="5560"/>
            <w:tcMar>
              <w:top w:type="dxa" w:w="60"/>
              <w:left w:type="dxa" w:w="100"/>
              <w:bottom w:type="dxa" w:w="60"/>
              <w:right w:type="dxa" w:w="100"/>
            </w:tcMar>
          </w:tcPr>
          <w:p>
            <w:r>
              <w:rPr>
                <w:b w:val="false"/>
                <w:bCs w:val="false"/>
                <w:sz w:val="18"/>
                <w:szCs w:val="18"/>
              </w:rPr>
              <w:t xml:space="preserve">Partner-lifted penetration + expanded ACV + both new pools</w:t>
            </w:r>
          </w:p>
        </w:tc>
        <w:tc>
          <w:tcPr>
            <w:tcW w:type="dxa" w:w="1600"/>
            <w:tcMar>
              <w:top w:type="dxa" w:w="60"/>
              <w:left w:type="dxa" w:w="100"/>
              <w:bottom w:type="dxa" w:w="60"/>
              <w:right w:type="dxa" w:w="100"/>
            </w:tcMar>
          </w:tcPr>
          <w:p>
            <w:r>
              <w:rPr>
                <w:b w:val="false"/>
                <w:bCs w:val="false"/>
                <w:sz w:val="18"/>
                <w:szCs w:val="18"/>
              </w:rPr>
              <w:t xml:space="preserve">S5</w:t>
            </w:r>
          </w:p>
        </w:tc>
      </w:tr>
    </w:tbl>
    <w:p>
      <w:pPr>
        <w:spacing w:after="120"/>
      </w:pPr>
      <w:r>
        <w:rPr>
          <w:b/>
          <w:bCs/>
        </w:rPr>
        <w:t xml:space="preserve">Channel ownership matrix (each segment has exactly one primary channel — no overlap, no orphan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60"/>
        <w:gridCol w:w="2800"/>
      </w:tblGrid>
      <w:tr>
        <w:trPr>
          <w:tblHeader/>
        </w:trPr>
        <w:tc>
          <w:tcPr>
            <w:tcW w:type="dxa" w:w="3000"/>
            <w:shd w:fill="1F3864" w:val="clear"/>
            <w:tcMar>
              <w:top w:type="dxa" w:w="60"/>
              <w:left w:type="dxa" w:w="100"/>
              <w:bottom w:type="dxa" w:w="60"/>
              <w:right w:type="dxa" w:w="100"/>
            </w:tcMar>
          </w:tcPr>
          <w:p>
            <w:r>
              <w:rPr>
                <w:b/>
                <w:bCs/>
                <w:color w:val="FFFFFF"/>
                <w:sz w:val="18"/>
                <w:szCs w:val="18"/>
              </w:rPr>
              <w:t xml:space="preserve">Segment</w:t>
            </w:r>
          </w:p>
        </w:tc>
        <w:tc>
          <w:tcPr>
            <w:tcW w:type="dxa" w:w="3560"/>
            <w:shd w:fill="1F3864" w:val="clear"/>
            <w:tcMar>
              <w:top w:type="dxa" w:w="60"/>
              <w:left w:type="dxa" w:w="100"/>
              <w:bottom w:type="dxa" w:w="60"/>
              <w:right w:type="dxa" w:w="100"/>
            </w:tcMar>
          </w:tcPr>
          <w:p>
            <w:r>
              <w:rPr>
                <w:b/>
                <w:bCs/>
                <w:color w:val="FFFFFF"/>
                <w:sz w:val="18"/>
                <w:szCs w:val="18"/>
              </w:rPr>
              <w:t xml:space="preserve">Primary channel</w:t>
            </w:r>
          </w:p>
        </w:tc>
        <w:tc>
          <w:tcPr>
            <w:tcW w:type="dxa" w:w="2800"/>
            <w:shd w:fill="1F3864" w:val="clear"/>
            <w:tcMar>
              <w:top w:type="dxa" w:w="60"/>
              <w:left w:type="dxa" w:w="100"/>
              <w:bottom w:type="dxa" w:w="60"/>
              <w:right w:type="dxa" w:w="100"/>
            </w:tcMar>
          </w:tcPr>
          <w:p>
            <w:r>
              <w:rPr>
                <w:b/>
                <w:bCs/>
                <w:color w:val="FFFFFF"/>
                <w:sz w:val="18"/>
                <w:szCs w:val="18"/>
              </w:rPr>
              <w:t xml:space="preserve">Explicitly not</w:t>
            </w:r>
          </w:p>
        </w:tc>
      </w:tr>
      <w:tr>
        <w:tc>
          <w:tcPr>
            <w:tcW w:type="dxa" w:w="3000"/>
            <w:tcMar>
              <w:top w:type="dxa" w:w="60"/>
              <w:left w:type="dxa" w:w="100"/>
              <w:bottom w:type="dxa" w:w="60"/>
              <w:right w:type="dxa" w:w="100"/>
            </w:tcMar>
          </w:tcPr>
          <w:p>
            <w:r>
              <w:rPr>
                <w:b w:val="false"/>
                <w:bCs w:val="false"/>
                <w:sz w:val="18"/>
                <w:szCs w:val="18"/>
              </w:rPr>
              <w:t xml:space="preserve">Core 100–500 emp forwarders, DACH+Benelux</w:t>
            </w:r>
          </w:p>
        </w:tc>
        <w:tc>
          <w:tcPr>
            <w:tcW w:type="dxa" w:w="3560"/>
            <w:tcMar>
              <w:top w:type="dxa" w:w="60"/>
              <w:left w:type="dxa" w:w="100"/>
              <w:bottom w:type="dxa" w:w="60"/>
              <w:right w:type="dxa" w:w="100"/>
            </w:tcMar>
          </w:tcPr>
          <w:p>
            <w:r>
              <w:rPr>
                <w:b w:val="false"/>
                <w:bCs w:val="false"/>
                <w:sz w:val="18"/>
                <w:szCs w:val="18"/>
              </w:rPr>
              <w:t xml:space="preserve">Founder-led outbound with paid pilots; references</w:t>
            </w:r>
          </w:p>
        </w:tc>
        <w:tc>
          <w:tcPr>
            <w:tcW w:type="dxa" w:w="2800"/>
            <w:tcMar>
              <w:top w:type="dxa" w:w="60"/>
              <w:left w:type="dxa" w:w="100"/>
              <w:bottom w:type="dxa" w:w="60"/>
              <w:right w:type="dxa" w:w="100"/>
            </w:tcMar>
          </w:tcPr>
          <w:p>
            <w:r>
              <w:rPr>
                <w:b w:val="false"/>
                <w:bCs w:val="false"/>
                <w:sz w:val="18"/>
                <w:szCs w:val="18"/>
              </w:rPr>
              <w:t xml:space="preserve">Broad paid marketing</w:t>
            </w:r>
          </w:p>
        </w:tc>
      </w:tr>
      <w:tr>
        <w:tc>
          <w:tcPr>
            <w:tcW w:type="dxa" w:w="3000"/>
            <w:shd w:fill="F2F2F2" w:val="clear"/>
            <w:tcMar>
              <w:top w:type="dxa" w:w="60"/>
              <w:left w:type="dxa" w:w="100"/>
              <w:bottom w:type="dxa" w:w="60"/>
              <w:right w:type="dxa" w:w="100"/>
            </w:tcMar>
          </w:tcPr>
          <w:p>
            <w:r>
              <w:rPr>
                <w:b w:val="false"/>
                <w:bCs w:val="false"/>
                <w:sz w:val="18"/>
                <w:szCs w:val="18"/>
              </w:rPr>
              <w:t xml:space="preserve">Core accounts inside CargoWise ecosystem</w:t>
            </w:r>
          </w:p>
        </w:tc>
        <w:tc>
          <w:tcPr>
            <w:tcW w:type="dxa" w:w="3560"/>
            <w:shd w:fill="F2F2F2" w:val="clear"/>
            <w:tcMar>
              <w:top w:type="dxa" w:w="60"/>
              <w:left w:type="dxa" w:w="100"/>
              <w:bottom w:type="dxa" w:w="60"/>
              <w:right w:type="dxa" w:w="100"/>
            </w:tcMar>
          </w:tcPr>
          <w:p>
            <w:r>
              <w:rPr>
                <w:b w:val="false"/>
                <w:bCs w:val="false"/>
                <w:sz w:val="18"/>
                <w:szCs w:val="18"/>
              </w:rPr>
              <w:t xml:space="preserve">Certified CargoWise partner listing</w:t>
            </w:r>
          </w:p>
        </w:tc>
        <w:tc>
          <w:tcPr>
            <w:tcW w:type="dxa" w:w="2800"/>
            <w:shd w:fill="F2F2F2" w:val="clear"/>
            <w:tcMar>
              <w:top w:type="dxa" w:w="60"/>
              <w:left w:type="dxa" w:w="100"/>
              <w:bottom w:type="dxa" w:w="60"/>
              <w:right w:type="dxa" w:w="100"/>
            </w:tcMar>
          </w:tcPr>
          <w:p>
            <w:r>
              <w:rPr>
                <w:b w:val="false"/>
                <w:bCs w:val="false"/>
                <w:sz w:val="18"/>
                <w:szCs w:val="18"/>
              </w:rPr>
              <w:t xml:space="preserve">Uncertified head-on selling</w:t>
            </w:r>
          </w:p>
        </w:tc>
      </w:tr>
      <w:tr>
        <w:tc>
          <w:tcPr>
            <w:tcW w:type="dxa" w:w="3000"/>
            <w:tcMar>
              <w:top w:type="dxa" w:w="60"/>
              <w:left w:type="dxa" w:w="100"/>
              <w:bottom w:type="dxa" w:w="60"/>
              <w:right w:type="dxa" w:w="100"/>
            </w:tcMar>
          </w:tcPr>
          <w:p>
            <w:r>
              <w:rPr>
                <w:b w:val="false"/>
                <w:bCs w:val="false"/>
                <w:sz w:val="18"/>
                <w:szCs w:val="18"/>
              </w:rPr>
              <w:t xml:space="preserve">Road forwarders on Timocom</w:t>
            </w:r>
          </w:p>
        </w:tc>
        <w:tc>
          <w:tcPr>
            <w:tcW w:type="dxa" w:w="3560"/>
            <w:tcMar>
              <w:top w:type="dxa" w:w="60"/>
              <w:left w:type="dxa" w:w="100"/>
              <w:bottom w:type="dxa" w:w="60"/>
              <w:right w:type="dxa" w:w="100"/>
            </w:tcMar>
          </w:tcPr>
          <w:p>
            <w:r>
              <w:rPr>
                <w:b w:val="false"/>
                <w:bCs w:val="false"/>
                <w:sz w:val="18"/>
                <w:szCs w:val="18"/>
              </w:rPr>
              <w:t xml:space="preserve">Timocom marketplace listing</w:t>
            </w:r>
          </w:p>
        </w:tc>
        <w:tc>
          <w:tcPr>
            <w:tcW w:type="dxa" w:w="2800"/>
            <w:tcMar>
              <w:top w:type="dxa" w:w="60"/>
              <w:left w:type="dxa" w:w="100"/>
              <w:bottom w:type="dxa" w:w="60"/>
              <w:right w:type="dxa" w:w="100"/>
            </w:tcMar>
          </w:tcPr>
          <w:p>
            <w:r>
              <w:rPr>
                <w:b w:val="false"/>
                <w:bCs w:val="false"/>
                <w:sz w:val="18"/>
                <w:szCs w:val="18"/>
              </w:rPr>
              <w:t xml:space="preserve">FDE-led selling at €35k ACV as the steady state</w:t>
            </w:r>
          </w:p>
        </w:tc>
      </w:tr>
      <w:tr>
        <w:tc>
          <w:tcPr>
            <w:tcW w:type="dxa" w:w="3000"/>
            <w:shd w:fill="F2F2F2" w:val="clear"/>
            <w:tcMar>
              <w:top w:type="dxa" w:w="60"/>
              <w:left w:type="dxa" w:w="100"/>
              <w:bottom w:type="dxa" w:w="60"/>
              <w:right w:type="dxa" w:w="100"/>
            </w:tcMar>
          </w:tcPr>
          <w:p>
            <w:r>
              <w:rPr>
                <w:b w:val="false"/>
                <w:bCs w:val="false"/>
                <w:sz w:val="18"/>
                <w:szCs w:val="18"/>
              </w:rPr>
              <w:t xml:space="preserve">Sub-100-employee tail</w:t>
            </w:r>
          </w:p>
        </w:tc>
        <w:tc>
          <w:tcPr>
            <w:tcW w:type="dxa" w:w="3560"/>
            <w:shd w:fill="F2F2F2" w:val="clear"/>
            <w:tcMar>
              <w:top w:type="dxa" w:w="60"/>
              <w:left w:type="dxa" w:w="100"/>
              <w:bottom w:type="dxa" w:w="60"/>
              <w:right w:type="dxa" w:w="100"/>
            </w:tcMar>
          </w:tcPr>
          <w:p>
            <w:r>
              <w:rPr>
                <w:b w:val="false"/>
                <w:bCs w:val="false"/>
                <w:sz w:val="18"/>
                <w:szCs w:val="18"/>
              </w:rPr>
              <w:t xml:space="preserve">Product-led self-serve + content</w:t>
            </w:r>
          </w:p>
        </w:tc>
        <w:tc>
          <w:tcPr>
            <w:tcW w:type="dxa" w:w="2800"/>
            <w:shd w:fill="F2F2F2" w:val="clear"/>
            <w:tcMar>
              <w:top w:type="dxa" w:w="60"/>
              <w:left w:type="dxa" w:w="100"/>
              <w:bottom w:type="dxa" w:w="60"/>
              <w:right w:type="dxa" w:w="100"/>
            </w:tcMar>
          </w:tcPr>
          <w:p>
            <w:r>
              <w:rPr>
                <w:b w:val="false"/>
                <w:bCs w:val="false"/>
                <w:sz w:val="18"/>
                <w:szCs w:val="18"/>
              </w:rPr>
              <w:t xml:space="preserve">FDE deployment (uneconomic)</w:t>
            </w:r>
          </w:p>
        </w:tc>
      </w:tr>
      <w:tr>
        <w:tc>
          <w:tcPr>
            <w:tcW w:type="dxa" w:w="3000"/>
            <w:tcMar>
              <w:top w:type="dxa" w:w="60"/>
              <w:left w:type="dxa" w:w="100"/>
              <w:bottom w:type="dxa" w:w="60"/>
              <w:right w:type="dxa" w:w="100"/>
            </w:tcMar>
          </w:tcPr>
          <w:p>
            <w:r>
              <w:rPr>
                <w:b w:val="false"/>
                <w:bCs w:val="false"/>
                <w:sz w:val="18"/>
                <w:szCs w:val="18"/>
              </w:rPr>
              <w:t xml:space="preserve">100–500 emp outside DACH+Benelux</w:t>
            </w:r>
          </w:p>
        </w:tc>
        <w:tc>
          <w:tcPr>
            <w:tcW w:type="dxa" w:w="3560"/>
            <w:tcMar>
              <w:top w:type="dxa" w:w="60"/>
              <w:left w:type="dxa" w:w="100"/>
              <w:bottom w:type="dxa" w:w="60"/>
              <w:right w:type="dxa" w:w="100"/>
            </w:tcMar>
          </w:tcPr>
          <w:p>
            <w:r>
              <w:rPr>
                <w:b w:val="false"/>
                <w:bCs w:val="false"/>
                <w:sz w:val="18"/>
                <w:szCs w:val="18"/>
              </w:rPr>
              <w:t xml:space="preserve">Deferred — Y3+ gate decision</w:t>
            </w:r>
          </w:p>
        </w:tc>
        <w:tc>
          <w:tcPr>
            <w:tcW w:type="dxa" w:w="2800"/>
            <w:tcMar>
              <w:top w:type="dxa" w:w="60"/>
              <w:left w:type="dxa" w:w="100"/>
              <w:bottom w:type="dxa" w:w="60"/>
              <w:right w:type="dxa" w:w="100"/>
            </w:tcMar>
          </w:tcPr>
          <w:p>
            <w:r>
              <w:rPr>
                <w:b w:val="false"/>
                <w:bCs w:val="false"/>
                <w:sz w:val="18"/>
                <w:szCs w:val="18"/>
              </w:rPr>
              <w:t xml:space="preserve">Premature geographic spread</w:t>
            </w:r>
          </w:p>
        </w:tc>
      </w:tr>
    </w:tbl>
    <w:p>
      <w:pPr>
        <w:spacing w:after="120"/>
      </w:pPr>
      <w:r>
        <w:t xml:space="preserve">One deliberate exception: the Q+3 road gate needs evidence, so 2–3 time-boxed discovery pilots are FDE-delivered and priced. Their output is the Road Charter Worker spec, not a book of FDE-served road accounts. Steady-state road delivery moves to the marketplace once the Worker ships; if the gate is missed the pilots stop and the pool parks.</w:t>
      </w:r>
    </w:p>
    <w:p>
      <w:pPr>
        <w:pStyle w:val="Heading1"/>
        <w:spacing w:after="120" w:before="300"/>
      </w:pPr>
      <w:r>
        <w:rPr>
          <w:color w:val="1F3864"/>
        </w:rPr>
        <w:t xml:space="preserve">3. Scenario results (3-year view, base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1300"/>
        <w:gridCol w:w="1300"/>
        <w:gridCol w:w="1400"/>
        <w:gridCol w:w="1410"/>
      </w:tblGrid>
      <w:tr>
        <w:trPr>
          <w:tblHeader/>
        </w:trPr>
        <w:tc>
          <w:tcPr>
            <w:tcW w:type="dxa" w:w="2650"/>
            <w:shd w:fill="1F3864" w:val="clear"/>
            <w:tcMar>
              <w:top w:type="dxa" w:w="60"/>
              <w:left w:type="dxa" w:w="100"/>
              <w:bottom w:type="dxa" w:w="60"/>
              <w:right w:type="dxa" w:w="100"/>
            </w:tcMar>
          </w:tcPr>
          <w:p>
            <w:r>
              <w:rPr>
                <w:b/>
                <w:bCs/>
                <w:color w:val="FFFFFF"/>
                <w:sz w:val="18"/>
                <w:szCs w:val="18"/>
              </w:rPr>
              <w:t xml:space="preserve">Scenario</w:t>
            </w:r>
          </w:p>
        </w:tc>
        <w:tc>
          <w:tcPr>
            <w:tcW w:type="dxa" w:w="1300"/>
            <w:shd w:fill="1F3864" w:val="clear"/>
            <w:tcMar>
              <w:top w:type="dxa" w:w="60"/>
              <w:left w:type="dxa" w:w="100"/>
              <w:bottom w:type="dxa" w:w="60"/>
              <w:right w:type="dxa" w:w="100"/>
            </w:tcMar>
          </w:tcPr>
          <w:p>
            <w:r>
              <w:rPr>
                <w:b/>
                <w:bCs/>
                <w:color w:val="FFFFFF"/>
                <w:sz w:val="18"/>
                <w:szCs w:val="18"/>
              </w:rPr>
              <w:t xml:space="preserve">Y3 customers</w:t>
            </w:r>
          </w:p>
        </w:tc>
        <w:tc>
          <w:tcPr>
            <w:tcW w:type="dxa" w:w="1300"/>
            <w:shd w:fill="1F3864" w:val="clear"/>
            <w:tcMar>
              <w:top w:type="dxa" w:w="60"/>
              <w:left w:type="dxa" w:w="100"/>
              <w:bottom w:type="dxa" w:w="60"/>
              <w:right w:type="dxa" w:w="100"/>
            </w:tcMar>
          </w:tcPr>
          <w:p>
            <w:r>
              <w:rPr>
                <w:b/>
                <w:bCs/>
                <w:color w:val="FFFFFF"/>
                <w:sz w:val="18"/>
                <w:szCs w:val="18"/>
              </w:rPr>
              <w:t xml:space="preserve">Y3 ARR</w:t>
            </w:r>
          </w:p>
        </w:tc>
        <w:tc>
          <w:tcPr>
            <w:tcW w:type="dxa" w:w="1300"/>
            <w:shd w:fill="1F3864" w:val="clear"/>
            <w:tcMar>
              <w:top w:type="dxa" w:w="60"/>
              <w:left w:type="dxa" w:w="100"/>
              <w:bottom w:type="dxa" w:w="60"/>
              <w:right w:type="dxa" w:w="100"/>
            </w:tcMar>
          </w:tcPr>
          <w:p>
            <w:r>
              <w:rPr>
                <w:b/>
                <w:bCs/>
                <w:color w:val="FFFFFF"/>
                <w:sz w:val="18"/>
                <w:szCs w:val="18"/>
              </w:rPr>
              <w:t xml:space="preserve">Y3 EBITDA</w:t>
            </w:r>
          </w:p>
        </w:tc>
        <w:tc>
          <w:tcPr>
            <w:tcW w:type="dxa" w:w="1400"/>
            <w:shd w:fill="1F3864" w:val="clear"/>
            <w:tcMar>
              <w:top w:type="dxa" w:w="60"/>
              <w:left w:type="dxa" w:w="100"/>
              <w:bottom w:type="dxa" w:w="60"/>
              <w:right w:type="dxa" w:w="100"/>
            </w:tcMar>
          </w:tcPr>
          <w:p>
            <w:r>
              <w:rPr>
                <w:b/>
                <w:bCs/>
                <w:color w:val="FFFFFF"/>
                <w:sz w:val="18"/>
                <w:szCs w:val="18"/>
              </w:rPr>
              <w:t xml:space="preserve">Cash end Y3</w:t>
            </w:r>
          </w:p>
        </w:tc>
        <w:tc>
          <w:tcPr>
            <w:tcW w:type="dxa" w:w="1410"/>
            <w:shd w:fill="1F3864" w:val="clear"/>
            <w:tcMar>
              <w:top w:type="dxa" w:w="60"/>
              <w:left w:type="dxa" w:w="100"/>
              <w:bottom w:type="dxa" w:w="60"/>
              <w:right w:type="dxa" w:w="100"/>
            </w:tcMar>
          </w:tcPr>
          <w:p>
            <w:r>
              <w:rPr>
                <w:b/>
                <w:bCs/>
                <w:color w:val="FFFFFF"/>
                <w:sz w:val="18"/>
                <w:szCs w:val="18"/>
              </w:rPr>
              <w:t xml:space="preserve">Break-even by Y3?</w:t>
            </w:r>
          </w:p>
        </w:tc>
      </w:tr>
      <w:tr>
        <w:tc>
          <w:tcPr>
            <w:tcW w:type="dxa" w:w="2650"/>
            <w:tcMar>
              <w:top w:type="dxa" w:w="60"/>
              <w:left w:type="dxa" w:w="100"/>
              <w:bottom w:type="dxa" w:w="60"/>
              <w:right w:type="dxa" w:w="100"/>
            </w:tcMar>
          </w:tcPr>
          <w:p>
            <w:r>
              <w:rPr>
                <w:b w:val="false"/>
                <w:bCs w:val="false"/>
                <w:sz w:val="18"/>
                <w:szCs w:val="18"/>
              </w:rPr>
              <w:t xml:space="preserve">S0 Beachhead only (status quo)</w:t>
            </w:r>
          </w:p>
        </w:tc>
        <w:tc>
          <w:tcPr>
            <w:tcW w:type="dxa" w:w="1300"/>
            <w:tcMar>
              <w:top w:type="dxa" w:w="60"/>
              <w:left w:type="dxa" w:w="100"/>
              <w:bottom w:type="dxa" w:w="60"/>
              <w:right w:type="dxa" w:w="100"/>
            </w:tcMar>
          </w:tcPr>
          <w:p>
            <w:r>
              <w:rPr>
                <w:b w:val="false"/>
                <w:bCs w:val="false"/>
                <w:sz w:val="18"/>
                <w:szCs w:val="18"/>
              </w:rPr>
              <w:t xml:space="preserve">26</w:t>
            </w:r>
          </w:p>
        </w:tc>
        <w:tc>
          <w:tcPr>
            <w:tcW w:type="dxa" w:w="1300"/>
            <w:tcMar>
              <w:top w:type="dxa" w:w="60"/>
              <w:left w:type="dxa" w:w="100"/>
              <w:bottom w:type="dxa" w:w="60"/>
              <w:right w:type="dxa" w:w="100"/>
            </w:tcMar>
          </w:tcPr>
          <w:p>
            <w:r>
              <w:rPr>
                <w:b w:val="false"/>
                <w:bCs w:val="false"/>
                <w:sz w:val="18"/>
                <w:szCs w:val="18"/>
              </w:rPr>
              <w:t xml:space="preserve">€1.56m</w:t>
            </w:r>
          </w:p>
        </w:tc>
        <w:tc>
          <w:tcPr>
            <w:tcW w:type="dxa" w:w="1300"/>
            <w:tcMar>
              <w:top w:type="dxa" w:w="60"/>
              <w:left w:type="dxa" w:w="100"/>
              <w:bottom w:type="dxa" w:w="60"/>
              <w:right w:type="dxa" w:w="100"/>
            </w:tcMar>
          </w:tcPr>
          <w:p>
            <w:r>
              <w:rPr>
                <w:b w:val="false"/>
                <w:bCs w:val="false"/>
                <w:sz w:val="18"/>
                <w:szCs w:val="18"/>
              </w:rPr>
              <w:t xml:space="preserve">−€0.89m</w:t>
            </w:r>
          </w:p>
        </w:tc>
        <w:tc>
          <w:tcPr>
            <w:tcW w:type="dxa" w:w="1400"/>
            <w:tcMar>
              <w:top w:type="dxa" w:w="60"/>
              <w:left w:type="dxa" w:w="100"/>
              <w:bottom w:type="dxa" w:w="60"/>
              <w:right w:type="dxa" w:w="100"/>
            </w:tcMar>
          </w:tcPr>
          <w:p>
            <w:r>
              <w:rPr>
                <w:b w:val="false"/>
                <w:bCs w:val="false"/>
                <w:sz w:val="18"/>
                <w:szCs w:val="18"/>
              </w:rPr>
              <w:t xml:space="preserve">−€0.38m</w:t>
            </w:r>
          </w:p>
        </w:tc>
        <w:tc>
          <w:tcPr>
            <w:tcW w:type="dxa" w:w="1410"/>
            <w:tcMar>
              <w:top w:type="dxa" w:w="60"/>
              <w:left w:type="dxa" w:w="100"/>
              <w:bottom w:type="dxa" w:w="60"/>
              <w:right w:type="dxa" w:w="100"/>
            </w:tcMar>
          </w:tcPr>
          <w:p>
            <w:r>
              <w:rPr>
                <w:b w:val="false"/>
                <w:bCs w:val="false"/>
                <w:sz w:val="18"/>
                <w:szCs w:val="18"/>
              </w:rPr>
              <w:t xml:space="preserve">No — and cash runs out</w:t>
            </w:r>
          </w:p>
        </w:tc>
      </w:tr>
      <w:tr>
        <w:tc>
          <w:tcPr>
            <w:tcW w:type="dxa" w:w="2650"/>
            <w:shd w:fill="F2F2F2" w:val="clear"/>
            <w:tcMar>
              <w:top w:type="dxa" w:w="60"/>
              <w:left w:type="dxa" w:w="100"/>
              <w:bottom w:type="dxa" w:w="60"/>
              <w:right w:type="dxa" w:w="100"/>
            </w:tcMar>
          </w:tcPr>
          <w:p>
            <w:r>
              <w:rPr>
                <w:b w:val="false"/>
                <w:bCs w:val="false"/>
                <w:sz w:val="18"/>
                <w:szCs w:val="18"/>
              </w:rPr>
              <w:t xml:space="preserve">S1 + Partner channel</w:t>
            </w:r>
          </w:p>
        </w:tc>
        <w:tc>
          <w:tcPr>
            <w:tcW w:type="dxa" w:w="1300"/>
            <w:shd w:fill="F2F2F2" w:val="clear"/>
            <w:tcMar>
              <w:top w:type="dxa" w:w="60"/>
              <w:left w:type="dxa" w:w="100"/>
              <w:bottom w:type="dxa" w:w="60"/>
              <w:right w:type="dxa" w:w="100"/>
            </w:tcMar>
          </w:tcPr>
          <w:p>
            <w:r>
              <w:rPr>
                <w:b w:val="false"/>
                <w:bCs w:val="false"/>
                <w:sz w:val="18"/>
                <w:szCs w:val="18"/>
              </w:rPr>
              <w:t xml:space="preserve">43</w:t>
            </w:r>
          </w:p>
        </w:tc>
        <w:tc>
          <w:tcPr>
            <w:tcW w:type="dxa" w:w="1300"/>
            <w:shd w:fill="F2F2F2" w:val="clear"/>
            <w:tcMar>
              <w:top w:type="dxa" w:w="60"/>
              <w:left w:type="dxa" w:w="100"/>
              <w:bottom w:type="dxa" w:w="60"/>
              <w:right w:type="dxa" w:w="100"/>
            </w:tcMar>
          </w:tcPr>
          <w:p>
            <w:r>
              <w:rPr>
                <w:b w:val="false"/>
                <w:bCs w:val="false"/>
                <w:sz w:val="18"/>
                <w:szCs w:val="18"/>
              </w:rPr>
              <w:t xml:space="preserve">€2.58m</w:t>
            </w:r>
          </w:p>
        </w:tc>
        <w:tc>
          <w:tcPr>
            <w:tcW w:type="dxa" w:w="1300"/>
            <w:shd w:fill="F2F2F2" w:val="clear"/>
            <w:tcMar>
              <w:top w:type="dxa" w:w="60"/>
              <w:left w:type="dxa" w:w="100"/>
              <w:bottom w:type="dxa" w:w="60"/>
              <w:right w:type="dxa" w:w="100"/>
            </w:tcMar>
          </w:tcPr>
          <w:p>
            <w:r>
              <w:rPr>
                <w:b w:val="false"/>
                <w:bCs w:val="false"/>
                <w:sz w:val="18"/>
                <w:szCs w:val="18"/>
              </w:rPr>
              <w:t xml:space="preserve">−€0.22m</w:t>
            </w:r>
          </w:p>
        </w:tc>
        <w:tc>
          <w:tcPr>
            <w:tcW w:type="dxa" w:w="1400"/>
            <w:shd w:fill="F2F2F2" w:val="clear"/>
            <w:tcMar>
              <w:top w:type="dxa" w:w="60"/>
              <w:left w:type="dxa" w:w="100"/>
              <w:bottom w:type="dxa" w:w="60"/>
              <w:right w:type="dxa" w:w="100"/>
            </w:tcMar>
          </w:tcPr>
          <w:p>
            <w:r>
              <w:rPr>
                <w:b w:val="false"/>
                <w:bCs w:val="false"/>
                <w:sz w:val="18"/>
                <w:szCs w:val="18"/>
              </w:rPr>
              <w:t xml:space="preserve">+€0.78m</w:t>
            </w:r>
          </w:p>
        </w:tc>
        <w:tc>
          <w:tcPr>
            <w:tcW w:type="dxa" w:w="1410"/>
            <w:shd w:fill="F2F2F2" w:val="clear"/>
            <w:tcMar>
              <w:top w:type="dxa" w:w="60"/>
              <w:left w:type="dxa" w:w="100"/>
              <w:bottom w:type="dxa" w:w="60"/>
              <w:right w:type="dxa" w:w="100"/>
            </w:tcMar>
          </w:tcPr>
          <w:p>
            <w:r>
              <w:rPr>
                <w:b w:val="false"/>
                <w:bCs w:val="false"/>
                <w:sz w:val="18"/>
                <w:szCs w:val="18"/>
              </w:rPr>
              <w:t xml:space="preserve">No</w:t>
            </w:r>
          </w:p>
        </w:tc>
      </w:tr>
      <w:tr>
        <w:tc>
          <w:tcPr>
            <w:tcW w:type="dxa" w:w="2650"/>
            <w:tcMar>
              <w:top w:type="dxa" w:w="60"/>
              <w:left w:type="dxa" w:w="100"/>
              <w:bottom w:type="dxa" w:w="60"/>
              <w:right w:type="dxa" w:w="100"/>
            </w:tcMar>
          </w:tcPr>
          <w:p>
            <w:r>
              <w:rPr>
                <w:b w:val="false"/>
                <w:bCs w:val="false"/>
                <w:sz w:val="18"/>
                <w:szCs w:val="18"/>
              </w:rPr>
              <w:t xml:space="preserve">S2 + ACV expansion</w:t>
            </w:r>
          </w:p>
        </w:tc>
        <w:tc>
          <w:tcPr>
            <w:tcW w:type="dxa" w:w="1300"/>
            <w:tcMar>
              <w:top w:type="dxa" w:w="60"/>
              <w:left w:type="dxa" w:w="100"/>
              <w:bottom w:type="dxa" w:w="60"/>
              <w:right w:type="dxa" w:w="100"/>
            </w:tcMar>
          </w:tcPr>
          <w:p>
            <w:r>
              <w:rPr>
                <w:b w:val="false"/>
                <w:bCs w:val="false"/>
                <w:sz w:val="18"/>
                <w:szCs w:val="18"/>
              </w:rPr>
              <w:t xml:space="preserve">26</w:t>
            </w:r>
          </w:p>
        </w:tc>
        <w:tc>
          <w:tcPr>
            <w:tcW w:type="dxa" w:w="1300"/>
            <w:tcMar>
              <w:top w:type="dxa" w:w="60"/>
              <w:left w:type="dxa" w:w="100"/>
              <w:bottom w:type="dxa" w:w="60"/>
              <w:right w:type="dxa" w:w="100"/>
            </w:tcMar>
          </w:tcPr>
          <w:p>
            <w:r>
              <w:rPr>
                <w:b w:val="false"/>
                <w:bCs w:val="false"/>
                <w:sz w:val="18"/>
                <w:szCs w:val="18"/>
              </w:rPr>
              <w:t xml:space="preserve">€2.21m</w:t>
            </w:r>
          </w:p>
        </w:tc>
        <w:tc>
          <w:tcPr>
            <w:tcW w:type="dxa" w:w="1300"/>
            <w:tcMar>
              <w:top w:type="dxa" w:w="60"/>
              <w:left w:type="dxa" w:w="100"/>
              <w:bottom w:type="dxa" w:w="60"/>
              <w:right w:type="dxa" w:w="100"/>
            </w:tcMar>
          </w:tcPr>
          <w:p>
            <w:r>
              <w:rPr>
                <w:b w:val="false"/>
                <w:bCs w:val="false"/>
                <w:sz w:val="18"/>
                <w:szCs w:val="18"/>
              </w:rPr>
              <w:t xml:space="preserve">−€0.46m</w:t>
            </w:r>
          </w:p>
        </w:tc>
        <w:tc>
          <w:tcPr>
            <w:tcW w:type="dxa" w:w="1400"/>
            <w:tcMar>
              <w:top w:type="dxa" w:w="60"/>
              <w:left w:type="dxa" w:w="100"/>
              <w:bottom w:type="dxa" w:w="60"/>
              <w:right w:type="dxa" w:w="100"/>
            </w:tcMar>
          </w:tcPr>
          <w:p>
            <w:r>
              <w:rPr>
                <w:b w:val="false"/>
                <w:bCs w:val="false"/>
                <w:sz w:val="18"/>
                <w:szCs w:val="18"/>
              </w:rPr>
              <w:t xml:space="preserve">+€0.31m</w:t>
            </w:r>
          </w:p>
        </w:tc>
        <w:tc>
          <w:tcPr>
            <w:tcW w:type="dxa" w:w="1410"/>
            <w:tcMar>
              <w:top w:type="dxa" w:w="60"/>
              <w:left w:type="dxa" w:w="100"/>
              <w:bottom w:type="dxa" w:w="60"/>
              <w:right w:type="dxa" w:w="100"/>
            </w:tcMar>
          </w:tcPr>
          <w:p>
            <w:r>
              <w:rPr>
                <w:b w:val="false"/>
                <w:bCs w:val="false"/>
                <w:sz w:val="18"/>
                <w:szCs w:val="18"/>
              </w:rPr>
              <w:t xml:space="preserve">No</w:t>
            </w:r>
          </w:p>
        </w:tc>
      </w:tr>
      <w:tr>
        <w:tc>
          <w:tcPr>
            <w:tcW w:type="dxa" w:w="2650"/>
            <w:shd w:fill="F2F2F2" w:val="clear"/>
            <w:tcMar>
              <w:top w:type="dxa" w:w="60"/>
              <w:left w:type="dxa" w:w="100"/>
              <w:bottom w:type="dxa" w:w="60"/>
              <w:right w:type="dxa" w:w="100"/>
            </w:tcMar>
          </w:tcPr>
          <w:p>
            <w:r>
              <w:rPr>
                <w:b w:val="false"/>
                <w:bCs w:val="false"/>
                <w:sz w:val="18"/>
                <w:szCs w:val="18"/>
              </w:rPr>
              <w:t xml:space="preserve">S3 + Self-serve tail</w:t>
            </w:r>
          </w:p>
        </w:tc>
        <w:tc>
          <w:tcPr>
            <w:tcW w:type="dxa" w:w="1300"/>
            <w:shd w:fill="F2F2F2" w:val="clear"/>
            <w:tcMar>
              <w:top w:type="dxa" w:w="60"/>
              <w:left w:type="dxa" w:w="100"/>
              <w:bottom w:type="dxa" w:w="60"/>
              <w:right w:type="dxa" w:w="100"/>
            </w:tcMar>
          </w:tcPr>
          <w:p>
            <w:r>
              <w:rPr>
                <w:b w:val="false"/>
                <w:bCs w:val="false"/>
                <w:sz w:val="18"/>
                <w:szCs w:val="18"/>
              </w:rPr>
              <w:t xml:space="preserve">106</w:t>
            </w:r>
          </w:p>
        </w:tc>
        <w:tc>
          <w:tcPr>
            <w:tcW w:type="dxa" w:w="1300"/>
            <w:shd w:fill="F2F2F2" w:val="clear"/>
            <w:tcMar>
              <w:top w:type="dxa" w:w="60"/>
              <w:left w:type="dxa" w:w="100"/>
              <w:bottom w:type="dxa" w:w="60"/>
              <w:right w:type="dxa" w:w="100"/>
            </w:tcMar>
          </w:tcPr>
          <w:p>
            <w:r>
              <w:rPr>
                <w:b w:val="false"/>
                <w:bCs w:val="false"/>
                <w:sz w:val="18"/>
                <w:szCs w:val="18"/>
              </w:rPr>
              <w:t xml:space="preserve">€2.04m</w:t>
            </w:r>
          </w:p>
        </w:tc>
        <w:tc>
          <w:tcPr>
            <w:tcW w:type="dxa" w:w="1300"/>
            <w:shd w:fill="F2F2F2" w:val="clear"/>
            <w:tcMar>
              <w:top w:type="dxa" w:w="60"/>
              <w:left w:type="dxa" w:w="100"/>
              <w:bottom w:type="dxa" w:w="60"/>
              <w:right w:type="dxa" w:w="100"/>
            </w:tcMar>
          </w:tcPr>
          <w:p>
            <w:r>
              <w:rPr>
                <w:b w:val="false"/>
                <w:bCs w:val="false"/>
                <w:sz w:val="18"/>
                <w:szCs w:val="18"/>
              </w:rPr>
              <w:t xml:space="preserve">−€0.57m</w:t>
            </w:r>
          </w:p>
        </w:tc>
        <w:tc>
          <w:tcPr>
            <w:tcW w:type="dxa" w:w="1400"/>
            <w:shd w:fill="F2F2F2" w:val="clear"/>
            <w:tcMar>
              <w:top w:type="dxa" w:w="60"/>
              <w:left w:type="dxa" w:w="100"/>
              <w:bottom w:type="dxa" w:w="60"/>
              <w:right w:type="dxa" w:w="100"/>
            </w:tcMar>
          </w:tcPr>
          <w:p>
            <w:r>
              <w:rPr>
                <w:b w:val="false"/>
                <w:bCs w:val="false"/>
                <w:sz w:val="18"/>
                <w:szCs w:val="18"/>
              </w:rPr>
              <w:t xml:space="preserve">+€0.06m</w:t>
            </w:r>
          </w:p>
        </w:tc>
        <w:tc>
          <w:tcPr>
            <w:tcW w:type="dxa" w:w="1410"/>
            <w:shd w:fill="F2F2F2" w:val="clear"/>
            <w:tcMar>
              <w:top w:type="dxa" w:w="60"/>
              <w:left w:type="dxa" w:w="100"/>
              <w:bottom w:type="dxa" w:w="60"/>
              <w:right w:type="dxa" w:w="100"/>
            </w:tcMar>
          </w:tcPr>
          <w:p>
            <w:r>
              <w:rPr>
                <w:b w:val="false"/>
                <w:bCs w:val="false"/>
                <w:sz w:val="18"/>
                <w:szCs w:val="18"/>
              </w:rPr>
              <w:t xml:space="preserve">No</w:t>
            </w:r>
          </w:p>
        </w:tc>
      </w:tr>
      <w:tr>
        <w:tc>
          <w:tcPr>
            <w:tcW w:type="dxa" w:w="2650"/>
            <w:tcMar>
              <w:top w:type="dxa" w:w="60"/>
              <w:left w:type="dxa" w:w="100"/>
              <w:bottom w:type="dxa" w:w="60"/>
              <w:right w:type="dxa" w:w="100"/>
            </w:tcMar>
          </w:tcPr>
          <w:p>
            <w:r>
              <w:rPr>
                <w:b w:val="false"/>
                <w:bCs w:val="false"/>
                <w:sz w:val="18"/>
                <w:szCs w:val="18"/>
              </w:rPr>
              <w:t xml:space="preserve">S4 + Road via Timocom</w:t>
            </w:r>
          </w:p>
        </w:tc>
        <w:tc>
          <w:tcPr>
            <w:tcW w:type="dxa" w:w="1300"/>
            <w:tcMar>
              <w:top w:type="dxa" w:w="60"/>
              <w:left w:type="dxa" w:w="100"/>
              <w:bottom w:type="dxa" w:w="60"/>
              <w:right w:type="dxa" w:w="100"/>
            </w:tcMar>
          </w:tcPr>
          <w:p>
            <w:r>
              <w:rPr>
                <w:b w:val="false"/>
                <w:bCs w:val="false"/>
                <w:sz w:val="18"/>
                <w:szCs w:val="18"/>
              </w:rPr>
              <w:t xml:space="preserve">58</w:t>
            </w:r>
          </w:p>
        </w:tc>
        <w:tc>
          <w:tcPr>
            <w:tcW w:type="dxa" w:w="1300"/>
            <w:tcMar>
              <w:top w:type="dxa" w:w="60"/>
              <w:left w:type="dxa" w:w="100"/>
              <w:bottom w:type="dxa" w:w="60"/>
              <w:right w:type="dxa" w:w="100"/>
            </w:tcMar>
          </w:tcPr>
          <w:p>
            <w:r>
              <w:rPr>
                <w:b w:val="false"/>
                <w:bCs w:val="false"/>
                <w:sz w:val="18"/>
                <w:szCs w:val="18"/>
              </w:rPr>
              <w:t xml:space="preserve">€2.68m</w:t>
            </w:r>
          </w:p>
        </w:tc>
        <w:tc>
          <w:tcPr>
            <w:tcW w:type="dxa" w:w="1300"/>
            <w:tcMar>
              <w:top w:type="dxa" w:w="60"/>
              <w:left w:type="dxa" w:w="100"/>
              <w:bottom w:type="dxa" w:w="60"/>
              <w:right w:type="dxa" w:w="100"/>
            </w:tcMar>
          </w:tcPr>
          <w:p>
            <w:r>
              <w:rPr>
                <w:b w:val="false"/>
                <w:bCs w:val="false"/>
                <w:sz w:val="18"/>
                <w:szCs w:val="18"/>
              </w:rPr>
              <w:t xml:space="preserve">−€0.16m</w:t>
            </w:r>
          </w:p>
        </w:tc>
        <w:tc>
          <w:tcPr>
            <w:tcW w:type="dxa" w:w="1400"/>
            <w:tcMar>
              <w:top w:type="dxa" w:w="60"/>
              <w:left w:type="dxa" w:w="100"/>
              <w:bottom w:type="dxa" w:w="60"/>
              <w:right w:type="dxa" w:w="100"/>
            </w:tcMar>
          </w:tcPr>
          <w:p>
            <w:r>
              <w:rPr>
                <w:b w:val="false"/>
                <w:bCs w:val="false"/>
                <w:sz w:val="18"/>
                <w:szCs w:val="18"/>
              </w:rPr>
              <w:t xml:space="preserve">+€0.65m</w:t>
            </w:r>
          </w:p>
        </w:tc>
        <w:tc>
          <w:tcPr>
            <w:tcW w:type="dxa" w:w="1410"/>
            <w:tcMar>
              <w:top w:type="dxa" w:w="60"/>
              <w:left w:type="dxa" w:w="100"/>
              <w:bottom w:type="dxa" w:w="60"/>
              <w:right w:type="dxa" w:w="100"/>
            </w:tcMar>
          </w:tcPr>
          <w:p>
            <w:r>
              <w:rPr>
                <w:b w:val="false"/>
                <w:bCs w:val="false"/>
                <w:sz w:val="18"/>
                <w:szCs w:val="18"/>
              </w:rPr>
              <w:t xml:space="preserve">No</w:t>
            </w:r>
          </w:p>
        </w:tc>
      </w:tr>
      <w:tr>
        <w:tc>
          <w:tcPr>
            <w:tcW w:type="dxa" w:w="2650"/>
            <w:shd w:fill="F2F2F2" w:val="clear"/>
            <w:tcMar>
              <w:top w:type="dxa" w:w="60"/>
              <w:left w:type="dxa" w:w="100"/>
              <w:bottom w:type="dxa" w:w="60"/>
              <w:right w:type="dxa" w:w="100"/>
            </w:tcMar>
          </w:tcPr>
          <w:p>
            <w:r>
              <w:rPr>
                <w:b w:val="false"/>
                <w:bCs w:val="false"/>
                <w:sz w:val="18"/>
                <w:szCs w:val="18"/>
              </w:rPr>
              <w:t xml:space="preserve">S5 Combined</w:t>
            </w:r>
          </w:p>
        </w:tc>
        <w:tc>
          <w:tcPr>
            <w:tcW w:type="dxa" w:w="1300"/>
            <w:shd w:fill="F2F2F2" w:val="clear"/>
            <w:tcMar>
              <w:top w:type="dxa" w:w="60"/>
              <w:left w:type="dxa" w:w="100"/>
              <w:bottom w:type="dxa" w:w="60"/>
              <w:right w:type="dxa" w:w="100"/>
            </w:tcMar>
          </w:tcPr>
          <w:p>
            <w:r>
              <w:rPr>
                <w:b w:val="false"/>
                <w:bCs w:val="false"/>
                <w:sz w:val="18"/>
                <w:szCs w:val="18"/>
              </w:rPr>
              <w:t xml:space="preserve">155</w:t>
            </w:r>
          </w:p>
        </w:tc>
        <w:tc>
          <w:tcPr>
            <w:tcW w:type="dxa" w:w="1300"/>
            <w:shd w:fill="F2F2F2" w:val="clear"/>
            <w:tcMar>
              <w:top w:type="dxa" w:w="60"/>
              <w:left w:type="dxa" w:w="100"/>
              <w:bottom w:type="dxa" w:w="60"/>
              <w:right w:type="dxa" w:w="100"/>
            </w:tcMar>
          </w:tcPr>
          <w:p>
            <w:r>
              <w:rPr>
                <w:b w:val="false"/>
                <w:bCs w:val="false"/>
                <w:sz w:val="18"/>
                <w:szCs w:val="18"/>
              </w:rPr>
              <w:t xml:space="preserve">€5.26m</w:t>
            </w:r>
          </w:p>
        </w:tc>
        <w:tc>
          <w:tcPr>
            <w:tcW w:type="dxa" w:w="1300"/>
            <w:shd w:fill="F2F2F2" w:val="clear"/>
            <w:tcMar>
              <w:top w:type="dxa" w:w="60"/>
              <w:left w:type="dxa" w:w="100"/>
              <w:bottom w:type="dxa" w:w="60"/>
              <w:right w:type="dxa" w:w="100"/>
            </w:tcMar>
          </w:tcPr>
          <w:p>
            <w:r>
              <w:rPr>
                <w:b w:val="false"/>
                <w:bCs w:val="false"/>
                <w:sz w:val="18"/>
                <w:szCs w:val="18"/>
              </w:rPr>
              <w:t xml:space="preserve">+€1.52m</w:t>
            </w:r>
          </w:p>
        </w:tc>
        <w:tc>
          <w:tcPr>
            <w:tcW w:type="dxa" w:w="1400"/>
            <w:shd w:fill="F2F2F2" w:val="clear"/>
            <w:tcMar>
              <w:top w:type="dxa" w:w="60"/>
              <w:left w:type="dxa" w:w="100"/>
              <w:bottom w:type="dxa" w:w="60"/>
              <w:right w:type="dxa" w:w="100"/>
            </w:tcMar>
          </w:tcPr>
          <w:p>
            <w:r>
              <w:rPr>
                <w:b w:val="false"/>
                <w:bCs w:val="false"/>
                <w:sz w:val="18"/>
                <w:szCs w:val="18"/>
              </w:rPr>
              <w:t xml:space="preserve">+€3.43m</w:t>
            </w:r>
          </w:p>
        </w:tc>
        <w:tc>
          <w:tcPr>
            <w:tcW w:type="dxa" w:w="1410"/>
            <w:shd w:fill="F2F2F2" w:val="clear"/>
            <w:tcMar>
              <w:top w:type="dxa" w:w="60"/>
              <w:left w:type="dxa" w:w="100"/>
              <w:bottom w:type="dxa" w:w="60"/>
              <w:right w:type="dxa" w:w="100"/>
            </w:tcMar>
          </w:tcPr>
          <w:p>
            <w:r>
              <w:rPr>
                <w:b w:val="false"/>
                <w:bCs w:val="false"/>
                <w:sz w:val="18"/>
                <w:szCs w:val="18"/>
              </w:rPr>
              <w:t xml:space="preserve">Yes — only scenario</w:t>
            </w:r>
          </w:p>
        </w:tc>
      </w:tr>
    </w:tbl>
    <w:p>
      <w:pPr>
        <w:spacing w:after="120"/>
      </w:pPr>
      <w:r>
        <w:t xml:space="preserve">Break-even ARR is €2.92m (€1.9m opex ÷ 65% gross margin). </w:t>
      </w:r>
      <w:r>
        <w:rPr>
          <w:b/>
          <w:bCs/>
        </w:rPr>
        <w:t xml:space="preserve">No single lever reaches it. </w:t>
      </w:r>
      <w:r>
        <w:t xml:space="preserve">This is the dossier’s core finding made operational: the beachhead alone (S0) is the only scenario that both misses break-even and exhausts the pre-seed. Every single-lever scenario survives to Y3 but still burns; only the combined strategy crosses into profit.</w:t>
      </w:r>
    </w:p>
    <w:p>
      <w:pPr>
        <w:pStyle w:val="Heading1"/>
        <w:spacing w:after="120" w:before="300"/>
      </w:pPr>
      <w:r>
        <w:rPr>
          <w:color w:val="1F3864"/>
        </w:rPr>
        <w:t xml:space="preserve">4. Stress-test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030"/>
        <w:gridCol w:w="1030"/>
        <w:gridCol w:w="1030"/>
        <w:gridCol w:w="1030"/>
        <w:gridCol w:w="1030"/>
        <w:gridCol w:w="1050"/>
      </w:tblGrid>
      <w:tr>
        <w:trPr>
          <w:tblHeader/>
        </w:trPr>
        <w:tc>
          <w:tcPr>
            <w:tcW w:type="dxa" w:w="3160"/>
            <w:shd w:fill="1F3864" w:val="clear"/>
            <w:tcMar>
              <w:top w:type="dxa" w:w="60"/>
              <w:left w:type="dxa" w:w="100"/>
              <w:bottom w:type="dxa" w:w="60"/>
              <w:right w:type="dxa" w:w="100"/>
            </w:tcMar>
          </w:tcPr>
          <w:p>
            <w:r>
              <w:rPr>
                <w:b/>
                <w:bCs/>
                <w:color w:val="FFFFFF"/>
                <w:sz w:val="18"/>
                <w:szCs w:val="18"/>
              </w:rPr>
              <w:t xml:space="preserve">Shock (Y3 run-rate EBITDA)</w:t>
            </w:r>
          </w:p>
        </w:tc>
        <w:tc>
          <w:tcPr>
            <w:tcW w:type="dxa" w:w="1030"/>
            <w:shd w:fill="1F3864" w:val="clear"/>
            <w:tcMar>
              <w:top w:type="dxa" w:w="60"/>
              <w:left w:type="dxa" w:w="100"/>
              <w:bottom w:type="dxa" w:w="60"/>
              <w:right w:type="dxa" w:w="100"/>
            </w:tcMar>
          </w:tcPr>
          <w:p>
            <w:r>
              <w:rPr>
                <w:b/>
                <w:bCs/>
                <w:color w:val="FFFFFF"/>
                <w:sz w:val="18"/>
                <w:szCs w:val="18"/>
              </w:rPr>
              <w:t xml:space="preserve">S0</w:t>
            </w:r>
          </w:p>
        </w:tc>
        <w:tc>
          <w:tcPr>
            <w:tcW w:type="dxa" w:w="1030"/>
            <w:shd w:fill="1F3864" w:val="clear"/>
            <w:tcMar>
              <w:top w:type="dxa" w:w="60"/>
              <w:left w:type="dxa" w:w="100"/>
              <w:bottom w:type="dxa" w:w="60"/>
              <w:right w:type="dxa" w:w="100"/>
            </w:tcMar>
          </w:tcPr>
          <w:p>
            <w:r>
              <w:rPr>
                <w:b/>
                <w:bCs/>
                <w:color w:val="FFFFFF"/>
                <w:sz w:val="18"/>
                <w:szCs w:val="18"/>
              </w:rPr>
              <w:t xml:space="preserve">S1</w:t>
            </w:r>
          </w:p>
        </w:tc>
        <w:tc>
          <w:tcPr>
            <w:tcW w:type="dxa" w:w="1030"/>
            <w:shd w:fill="1F3864" w:val="clear"/>
            <w:tcMar>
              <w:top w:type="dxa" w:w="60"/>
              <w:left w:type="dxa" w:w="100"/>
              <w:bottom w:type="dxa" w:w="60"/>
              <w:right w:type="dxa" w:w="100"/>
            </w:tcMar>
          </w:tcPr>
          <w:p>
            <w:r>
              <w:rPr>
                <w:b/>
                <w:bCs/>
                <w:color w:val="FFFFFF"/>
                <w:sz w:val="18"/>
                <w:szCs w:val="18"/>
              </w:rPr>
              <w:t xml:space="preserve">S2</w:t>
            </w:r>
          </w:p>
        </w:tc>
        <w:tc>
          <w:tcPr>
            <w:tcW w:type="dxa" w:w="1030"/>
            <w:shd w:fill="1F3864" w:val="clear"/>
            <w:tcMar>
              <w:top w:type="dxa" w:w="60"/>
              <w:left w:type="dxa" w:w="100"/>
              <w:bottom w:type="dxa" w:w="60"/>
              <w:right w:type="dxa" w:w="100"/>
            </w:tcMar>
          </w:tcPr>
          <w:p>
            <w:r>
              <w:rPr>
                <w:b/>
                <w:bCs/>
                <w:color w:val="FFFFFF"/>
                <w:sz w:val="18"/>
                <w:szCs w:val="18"/>
              </w:rPr>
              <w:t xml:space="preserve">S3</w:t>
            </w:r>
          </w:p>
        </w:tc>
        <w:tc>
          <w:tcPr>
            <w:tcW w:type="dxa" w:w="1030"/>
            <w:shd w:fill="1F3864" w:val="clear"/>
            <w:tcMar>
              <w:top w:type="dxa" w:w="60"/>
              <w:left w:type="dxa" w:w="100"/>
              <w:bottom w:type="dxa" w:w="60"/>
              <w:right w:type="dxa" w:w="100"/>
            </w:tcMar>
          </w:tcPr>
          <w:p>
            <w:r>
              <w:rPr>
                <w:b/>
                <w:bCs/>
                <w:color w:val="FFFFFF"/>
                <w:sz w:val="18"/>
                <w:szCs w:val="18"/>
              </w:rPr>
              <w:t xml:space="preserve">S4</w:t>
            </w:r>
          </w:p>
        </w:tc>
        <w:tc>
          <w:tcPr>
            <w:tcW w:type="dxa" w:w="1050"/>
            <w:shd w:fill="1F3864" w:val="clear"/>
            <w:tcMar>
              <w:top w:type="dxa" w:w="60"/>
              <w:left w:type="dxa" w:w="100"/>
              <w:bottom w:type="dxa" w:w="60"/>
              <w:right w:type="dxa" w:w="100"/>
            </w:tcMar>
          </w:tcPr>
          <w:p>
            <w:r>
              <w:rPr>
                <w:b/>
                <w:bCs/>
                <w:color w:val="FFFFFF"/>
                <w:sz w:val="18"/>
                <w:szCs w:val="18"/>
              </w:rPr>
              <w:t xml:space="preserve">S5</w:t>
            </w:r>
          </w:p>
        </w:tc>
      </w:tr>
      <w:tr>
        <w:tc>
          <w:tcPr>
            <w:tcW w:type="dxa" w:w="3160"/>
            <w:tcMar>
              <w:top w:type="dxa" w:w="60"/>
              <w:left w:type="dxa" w:w="100"/>
              <w:bottom w:type="dxa" w:w="60"/>
              <w:right w:type="dxa" w:w="100"/>
            </w:tcMar>
          </w:tcPr>
          <w:p>
            <w:r>
              <w:rPr>
                <w:b w:val="false"/>
                <w:bCs w:val="false"/>
                <w:sz w:val="18"/>
                <w:szCs w:val="18"/>
              </w:rPr>
              <w:t xml:space="preserve">Base (no shock)</w:t>
            </w:r>
          </w:p>
        </w:tc>
        <w:tc>
          <w:tcPr>
            <w:tcW w:type="dxa" w:w="1030"/>
            <w:tcMar>
              <w:top w:type="dxa" w:w="60"/>
              <w:left w:type="dxa" w:w="100"/>
              <w:bottom w:type="dxa" w:w="60"/>
              <w:right w:type="dxa" w:w="100"/>
            </w:tcMar>
          </w:tcPr>
          <w:p>
            <w:r>
              <w:rPr>
                <w:b w:val="false"/>
                <w:bCs w:val="false"/>
                <w:sz w:val="18"/>
                <w:szCs w:val="18"/>
              </w:rPr>
              <w:t xml:space="preserve">−903k</w:t>
            </w:r>
          </w:p>
        </w:tc>
        <w:tc>
          <w:tcPr>
            <w:tcW w:type="dxa" w:w="1030"/>
            <w:tcMar>
              <w:top w:type="dxa" w:w="60"/>
              <w:left w:type="dxa" w:w="100"/>
              <w:bottom w:type="dxa" w:w="60"/>
              <w:right w:type="dxa" w:w="100"/>
            </w:tcMar>
          </w:tcPr>
          <w:p>
            <w:r>
              <w:rPr>
                <w:b w:val="false"/>
                <w:bCs w:val="false"/>
                <w:sz w:val="18"/>
                <w:szCs w:val="18"/>
              </w:rPr>
              <w:t xml:space="preserve">−239k</w:t>
            </w:r>
          </w:p>
        </w:tc>
        <w:tc>
          <w:tcPr>
            <w:tcW w:type="dxa" w:w="1030"/>
            <w:tcMar>
              <w:top w:type="dxa" w:w="60"/>
              <w:left w:type="dxa" w:w="100"/>
              <w:bottom w:type="dxa" w:w="60"/>
              <w:right w:type="dxa" w:w="100"/>
            </w:tcMar>
          </w:tcPr>
          <w:p>
            <w:r>
              <w:rPr>
                <w:b w:val="false"/>
                <w:bCs w:val="false"/>
                <w:sz w:val="18"/>
                <w:szCs w:val="18"/>
              </w:rPr>
              <w:t xml:space="preserve">−488k</w:t>
            </w:r>
          </w:p>
        </w:tc>
        <w:tc>
          <w:tcPr>
            <w:tcW w:type="dxa" w:w="1030"/>
            <w:tcMar>
              <w:top w:type="dxa" w:w="60"/>
              <w:left w:type="dxa" w:w="100"/>
              <w:bottom w:type="dxa" w:w="60"/>
              <w:right w:type="dxa" w:w="100"/>
            </w:tcMar>
          </w:tcPr>
          <w:p>
            <w:r>
              <w:rPr>
                <w:b w:val="false"/>
                <w:bCs w:val="false"/>
                <w:sz w:val="18"/>
                <w:szCs w:val="18"/>
              </w:rPr>
              <w:t xml:space="preserve">−591k</w:t>
            </w:r>
          </w:p>
        </w:tc>
        <w:tc>
          <w:tcPr>
            <w:tcW w:type="dxa" w:w="1030"/>
            <w:tcMar>
              <w:top w:type="dxa" w:w="60"/>
              <w:left w:type="dxa" w:w="100"/>
              <w:bottom w:type="dxa" w:w="60"/>
              <w:right w:type="dxa" w:w="100"/>
            </w:tcMar>
          </w:tcPr>
          <w:p>
            <w:r>
              <w:rPr>
                <w:b w:val="false"/>
                <w:bCs w:val="false"/>
                <w:sz w:val="18"/>
                <w:szCs w:val="18"/>
              </w:rPr>
              <w:t xml:space="preserve">−175k</w:t>
            </w:r>
          </w:p>
        </w:tc>
        <w:tc>
          <w:tcPr>
            <w:tcW w:type="dxa" w:w="1050"/>
            <w:tcMar>
              <w:top w:type="dxa" w:w="60"/>
              <w:left w:type="dxa" w:w="100"/>
              <w:bottom w:type="dxa" w:w="60"/>
              <w:right w:type="dxa" w:w="100"/>
            </w:tcMar>
          </w:tcPr>
          <w:p>
            <w:r>
              <w:rPr>
                <w:b w:val="false"/>
                <w:bCs w:val="false"/>
                <w:sz w:val="18"/>
                <w:szCs w:val="18"/>
              </w:rPr>
              <w:t xml:space="preserve">+1,494k</w:t>
            </w:r>
          </w:p>
        </w:tc>
      </w:tr>
      <w:tr>
        <w:tc>
          <w:tcPr>
            <w:tcW w:type="dxa" w:w="3160"/>
            <w:shd w:fill="F2F2F2" w:val="clear"/>
            <w:tcMar>
              <w:top w:type="dxa" w:w="60"/>
              <w:left w:type="dxa" w:w="100"/>
              <w:bottom w:type="dxa" w:w="60"/>
              <w:right w:type="dxa" w:w="100"/>
            </w:tcMar>
          </w:tcPr>
          <w:p>
            <w:r>
              <w:rPr>
                <w:b w:val="false"/>
                <w:bCs w:val="false"/>
                <w:sz w:val="18"/>
                <w:szCs w:val="18"/>
              </w:rPr>
              <w:t xml:space="preserve">Price −20% (Nexcade sets anchor)</w:t>
            </w:r>
          </w:p>
        </w:tc>
        <w:tc>
          <w:tcPr>
            <w:tcW w:type="dxa" w:w="1030"/>
            <w:shd w:fill="F2F2F2" w:val="clear"/>
            <w:tcMar>
              <w:top w:type="dxa" w:w="60"/>
              <w:left w:type="dxa" w:w="100"/>
              <w:bottom w:type="dxa" w:w="60"/>
              <w:right w:type="dxa" w:w="100"/>
            </w:tcMar>
          </w:tcPr>
          <w:p>
            <w:r>
              <w:rPr>
                <w:b w:val="false"/>
                <w:bCs w:val="false"/>
                <w:sz w:val="18"/>
                <w:szCs w:val="18"/>
              </w:rPr>
              <w:t xml:space="preserve">−1,103k</w:t>
            </w:r>
          </w:p>
        </w:tc>
        <w:tc>
          <w:tcPr>
            <w:tcW w:type="dxa" w:w="1030"/>
            <w:shd w:fill="F2F2F2" w:val="clear"/>
            <w:tcMar>
              <w:top w:type="dxa" w:w="60"/>
              <w:left w:type="dxa" w:w="100"/>
              <w:bottom w:type="dxa" w:w="60"/>
              <w:right w:type="dxa" w:w="100"/>
            </w:tcMar>
          </w:tcPr>
          <w:p>
            <w:r>
              <w:rPr>
                <w:b w:val="false"/>
                <w:bCs w:val="false"/>
                <w:sz w:val="18"/>
                <w:szCs w:val="18"/>
              </w:rPr>
              <w:t xml:space="preserve">−571k</w:t>
            </w:r>
          </w:p>
        </w:tc>
        <w:tc>
          <w:tcPr>
            <w:tcW w:type="dxa" w:w="1030"/>
            <w:shd w:fill="F2F2F2" w:val="clear"/>
            <w:tcMar>
              <w:top w:type="dxa" w:w="60"/>
              <w:left w:type="dxa" w:w="100"/>
              <w:bottom w:type="dxa" w:w="60"/>
              <w:right w:type="dxa" w:w="100"/>
            </w:tcMar>
          </w:tcPr>
          <w:p>
            <w:r>
              <w:rPr>
                <w:b w:val="false"/>
                <w:bCs w:val="false"/>
                <w:sz w:val="18"/>
                <w:szCs w:val="18"/>
              </w:rPr>
              <w:t xml:space="preserve">−770k</w:t>
            </w:r>
          </w:p>
        </w:tc>
        <w:tc>
          <w:tcPr>
            <w:tcW w:type="dxa" w:w="1030"/>
            <w:shd w:fill="F2F2F2" w:val="clear"/>
            <w:tcMar>
              <w:top w:type="dxa" w:w="60"/>
              <w:left w:type="dxa" w:w="100"/>
              <w:bottom w:type="dxa" w:w="60"/>
              <w:right w:type="dxa" w:w="100"/>
            </w:tcMar>
          </w:tcPr>
          <w:p>
            <w:r>
              <w:rPr>
                <w:b w:val="false"/>
                <w:bCs w:val="false"/>
                <w:sz w:val="18"/>
                <w:szCs w:val="18"/>
              </w:rPr>
              <w:t xml:space="preserve">−853k</w:t>
            </w:r>
          </w:p>
        </w:tc>
        <w:tc>
          <w:tcPr>
            <w:tcW w:type="dxa" w:w="1030"/>
            <w:shd w:fill="F2F2F2" w:val="clear"/>
            <w:tcMar>
              <w:top w:type="dxa" w:w="60"/>
              <w:left w:type="dxa" w:w="100"/>
              <w:bottom w:type="dxa" w:w="60"/>
              <w:right w:type="dxa" w:w="100"/>
            </w:tcMar>
          </w:tcPr>
          <w:p>
            <w:r>
              <w:rPr>
                <w:b w:val="false"/>
                <w:bCs w:val="false"/>
                <w:sz w:val="18"/>
                <w:szCs w:val="18"/>
              </w:rPr>
              <w:t xml:space="preserve">−520k</w:t>
            </w:r>
          </w:p>
        </w:tc>
        <w:tc>
          <w:tcPr>
            <w:tcW w:type="dxa" w:w="1050"/>
            <w:shd w:fill="F2F2F2" w:val="clear"/>
            <w:tcMar>
              <w:top w:type="dxa" w:w="60"/>
              <w:left w:type="dxa" w:w="100"/>
              <w:bottom w:type="dxa" w:w="60"/>
              <w:right w:type="dxa" w:w="100"/>
            </w:tcMar>
          </w:tcPr>
          <w:p>
            <w:r>
              <w:rPr>
                <w:b w:val="false"/>
                <w:bCs w:val="false"/>
                <w:sz w:val="18"/>
                <w:szCs w:val="18"/>
              </w:rPr>
              <w:t xml:space="preserve">+815k</w:t>
            </w:r>
          </w:p>
        </w:tc>
      </w:tr>
      <w:tr>
        <w:tc>
          <w:tcPr>
            <w:tcW w:type="dxa" w:w="3160"/>
            <w:tcMar>
              <w:top w:type="dxa" w:w="60"/>
              <w:left w:type="dxa" w:w="100"/>
              <w:bottom w:type="dxa" w:w="60"/>
              <w:right w:type="dxa" w:w="100"/>
            </w:tcMar>
          </w:tcPr>
          <w:p>
            <w:r>
              <w:rPr>
                <w:b w:val="false"/>
                <w:bCs w:val="false"/>
                <w:sz w:val="18"/>
                <w:szCs w:val="18"/>
              </w:rPr>
              <w:t xml:space="preserve">Demand −33% (cargo.one owns distribution)</w:t>
            </w:r>
          </w:p>
        </w:tc>
        <w:tc>
          <w:tcPr>
            <w:tcW w:type="dxa" w:w="1030"/>
            <w:tcMar>
              <w:top w:type="dxa" w:w="60"/>
              <w:left w:type="dxa" w:w="100"/>
              <w:bottom w:type="dxa" w:w="60"/>
              <w:right w:type="dxa" w:w="100"/>
            </w:tcMar>
          </w:tcPr>
          <w:p>
            <w:r>
              <w:rPr>
                <w:b w:val="false"/>
                <w:bCs w:val="false"/>
                <w:sz w:val="18"/>
                <w:szCs w:val="18"/>
              </w:rPr>
              <w:t xml:space="preserve">−1,232k</w:t>
            </w:r>
          </w:p>
        </w:tc>
        <w:tc>
          <w:tcPr>
            <w:tcW w:type="dxa" w:w="1030"/>
            <w:tcMar>
              <w:top w:type="dxa" w:w="60"/>
              <w:left w:type="dxa" w:w="100"/>
              <w:bottom w:type="dxa" w:w="60"/>
              <w:right w:type="dxa" w:w="100"/>
            </w:tcMar>
          </w:tcPr>
          <w:p>
            <w:r>
              <w:rPr>
                <w:b w:val="false"/>
                <w:bCs w:val="false"/>
                <w:sz w:val="18"/>
                <w:szCs w:val="18"/>
              </w:rPr>
              <w:t xml:space="preserve">−787k</w:t>
            </w:r>
          </w:p>
        </w:tc>
        <w:tc>
          <w:tcPr>
            <w:tcW w:type="dxa" w:w="1030"/>
            <w:tcMar>
              <w:top w:type="dxa" w:w="60"/>
              <w:left w:type="dxa" w:w="100"/>
              <w:bottom w:type="dxa" w:w="60"/>
              <w:right w:type="dxa" w:w="100"/>
            </w:tcMar>
          </w:tcPr>
          <w:p>
            <w:r>
              <w:rPr>
                <w:b w:val="false"/>
                <w:bCs w:val="false"/>
                <w:sz w:val="18"/>
                <w:szCs w:val="18"/>
              </w:rPr>
              <w:t xml:space="preserve">−954k</w:t>
            </w:r>
          </w:p>
        </w:tc>
        <w:tc>
          <w:tcPr>
            <w:tcW w:type="dxa" w:w="1030"/>
            <w:tcMar>
              <w:top w:type="dxa" w:w="60"/>
              <w:left w:type="dxa" w:w="100"/>
              <w:bottom w:type="dxa" w:w="60"/>
              <w:right w:type="dxa" w:w="100"/>
            </w:tcMar>
          </w:tcPr>
          <w:p>
            <w:r>
              <w:rPr>
                <w:b w:val="false"/>
                <w:bCs w:val="false"/>
                <w:sz w:val="18"/>
                <w:szCs w:val="18"/>
              </w:rPr>
              <w:t xml:space="preserve">−1,023k</w:t>
            </w:r>
          </w:p>
        </w:tc>
        <w:tc>
          <w:tcPr>
            <w:tcW w:type="dxa" w:w="1030"/>
            <w:tcMar>
              <w:top w:type="dxa" w:w="60"/>
              <w:left w:type="dxa" w:w="100"/>
              <w:bottom w:type="dxa" w:w="60"/>
              <w:right w:type="dxa" w:w="100"/>
            </w:tcMar>
          </w:tcPr>
          <w:p>
            <w:r>
              <w:rPr>
                <w:b w:val="false"/>
                <w:bCs w:val="false"/>
                <w:sz w:val="18"/>
                <w:szCs w:val="18"/>
              </w:rPr>
              <w:t xml:space="preserve">−744k</w:t>
            </w:r>
          </w:p>
        </w:tc>
        <w:tc>
          <w:tcPr>
            <w:tcW w:type="dxa" w:w="1050"/>
            <w:tcMar>
              <w:top w:type="dxa" w:w="60"/>
              <w:left w:type="dxa" w:w="100"/>
              <w:bottom w:type="dxa" w:w="60"/>
              <w:right w:type="dxa" w:w="100"/>
            </w:tcMar>
          </w:tcPr>
          <w:p>
            <w:r>
              <w:rPr>
                <w:b w:val="false"/>
                <w:bCs w:val="false"/>
                <w:sz w:val="18"/>
                <w:szCs w:val="18"/>
              </w:rPr>
              <w:t xml:space="preserve">+374k</w:t>
            </w:r>
          </w:p>
        </w:tc>
      </w:tr>
      <w:tr>
        <w:tc>
          <w:tcPr>
            <w:tcW w:type="dxa" w:w="3160"/>
            <w:shd w:fill="F2F2F2" w:val="clear"/>
            <w:tcMar>
              <w:top w:type="dxa" w:w="60"/>
              <w:left w:type="dxa" w:w="100"/>
              <w:bottom w:type="dxa" w:w="60"/>
              <w:right w:type="dxa" w:w="100"/>
            </w:tcMar>
          </w:tcPr>
          <w:p>
            <w:r>
              <w:rPr>
                <w:b w:val="false"/>
                <w:bCs w:val="false"/>
                <w:sz w:val="18"/>
                <w:szCs w:val="18"/>
              </w:rPr>
              <w:t xml:space="preserve">Churn −15% (lock-in ends, no SLA/SOC 2)</w:t>
            </w:r>
          </w:p>
        </w:tc>
        <w:tc>
          <w:tcPr>
            <w:tcW w:type="dxa" w:w="1030"/>
            <w:shd w:fill="F2F2F2" w:val="clear"/>
            <w:tcMar>
              <w:top w:type="dxa" w:w="60"/>
              <w:left w:type="dxa" w:w="100"/>
              <w:bottom w:type="dxa" w:w="60"/>
              <w:right w:type="dxa" w:w="100"/>
            </w:tcMar>
          </w:tcPr>
          <w:p>
            <w:r>
              <w:rPr>
                <w:b w:val="false"/>
                <w:bCs w:val="false"/>
                <w:sz w:val="18"/>
                <w:szCs w:val="18"/>
              </w:rPr>
              <w:t xml:space="preserve">−1,053k</w:t>
            </w:r>
          </w:p>
        </w:tc>
        <w:tc>
          <w:tcPr>
            <w:tcW w:type="dxa" w:w="1030"/>
            <w:shd w:fill="F2F2F2" w:val="clear"/>
            <w:tcMar>
              <w:top w:type="dxa" w:w="60"/>
              <w:left w:type="dxa" w:w="100"/>
              <w:bottom w:type="dxa" w:w="60"/>
              <w:right w:type="dxa" w:w="100"/>
            </w:tcMar>
          </w:tcPr>
          <w:p>
            <w:r>
              <w:rPr>
                <w:b w:val="false"/>
                <w:bCs w:val="false"/>
                <w:sz w:val="18"/>
                <w:szCs w:val="18"/>
              </w:rPr>
              <w:t xml:space="preserve">−488k</w:t>
            </w:r>
          </w:p>
        </w:tc>
        <w:tc>
          <w:tcPr>
            <w:tcW w:type="dxa" w:w="1030"/>
            <w:shd w:fill="F2F2F2" w:val="clear"/>
            <w:tcMar>
              <w:top w:type="dxa" w:w="60"/>
              <w:left w:type="dxa" w:w="100"/>
              <w:bottom w:type="dxa" w:w="60"/>
              <w:right w:type="dxa" w:w="100"/>
            </w:tcMar>
          </w:tcPr>
          <w:p>
            <w:r>
              <w:rPr>
                <w:b w:val="false"/>
                <w:bCs w:val="false"/>
                <w:sz w:val="18"/>
                <w:szCs w:val="18"/>
              </w:rPr>
              <w:t xml:space="preserve">−700k</w:t>
            </w:r>
          </w:p>
        </w:tc>
        <w:tc>
          <w:tcPr>
            <w:tcW w:type="dxa" w:w="1030"/>
            <w:shd w:fill="F2F2F2" w:val="clear"/>
            <w:tcMar>
              <w:top w:type="dxa" w:w="60"/>
              <w:left w:type="dxa" w:w="100"/>
              <w:bottom w:type="dxa" w:w="60"/>
              <w:right w:type="dxa" w:w="100"/>
            </w:tcMar>
          </w:tcPr>
          <w:p>
            <w:r>
              <w:rPr>
                <w:b w:val="false"/>
                <w:bCs w:val="false"/>
                <w:sz w:val="18"/>
                <w:szCs w:val="18"/>
              </w:rPr>
              <w:t xml:space="preserve">−741k</w:t>
            </w:r>
          </w:p>
        </w:tc>
        <w:tc>
          <w:tcPr>
            <w:tcW w:type="dxa" w:w="1030"/>
            <w:shd w:fill="F2F2F2" w:val="clear"/>
            <w:tcMar>
              <w:top w:type="dxa" w:w="60"/>
              <w:left w:type="dxa" w:w="100"/>
              <w:bottom w:type="dxa" w:w="60"/>
              <w:right w:type="dxa" w:w="100"/>
            </w:tcMar>
          </w:tcPr>
          <w:p>
            <w:r>
              <w:rPr>
                <w:b w:val="false"/>
                <w:bCs w:val="false"/>
                <w:sz w:val="18"/>
                <w:szCs w:val="18"/>
              </w:rPr>
              <w:t xml:space="preserve">−325k</w:t>
            </w:r>
          </w:p>
        </w:tc>
        <w:tc>
          <w:tcPr>
            <w:tcW w:type="dxa" w:w="1050"/>
            <w:shd w:fill="F2F2F2" w:val="clear"/>
            <w:tcMar>
              <w:top w:type="dxa" w:w="60"/>
              <w:left w:type="dxa" w:w="100"/>
              <w:bottom w:type="dxa" w:w="60"/>
              <w:right w:type="dxa" w:w="100"/>
            </w:tcMar>
          </w:tcPr>
          <w:p>
            <w:r>
              <w:rPr>
                <w:b w:val="false"/>
                <w:bCs w:val="false"/>
                <w:sz w:val="18"/>
                <w:szCs w:val="18"/>
              </w:rPr>
              <w:t xml:space="preserve">+1,141k</w:t>
            </w:r>
          </w:p>
        </w:tc>
      </w:tr>
      <w:tr>
        <w:tc>
          <w:tcPr>
            <w:tcW w:type="dxa" w:w="3160"/>
            <w:tcMar>
              <w:top w:type="dxa" w:w="60"/>
              <w:left w:type="dxa" w:w="100"/>
              <w:bottom w:type="dxa" w:w="60"/>
              <w:right w:type="dxa" w:w="100"/>
            </w:tcMar>
          </w:tcPr>
          <w:p>
            <w:r>
              <w:rPr>
                <w:b w:val="false"/>
                <w:bCs w:val="false"/>
                <w:sz w:val="18"/>
                <w:szCs w:val="18"/>
              </w:rPr>
              <w:t xml:space="preserve">FDE hiring −50% (capacity bound)</w:t>
            </w:r>
          </w:p>
        </w:tc>
        <w:tc>
          <w:tcPr>
            <w:tcW w:type="dxa" w:w="1030"/>
            <w:tcMar>
              <w:top w:type="dxa" w:w="60"/>
              <w:left w:type="dxa" w:w="100"/>
              <w:bottom w:type="dxa" w:w="60"/>
              <w:right w:type="dxa" w:w="100"/>
            </w:tcMar>
          </w:tcPr>
          <w:p>
            <w:r>
              <w:rPr>
                <w:b w:val="false"/>
                <w:bCs w:val="false"/>
                <w:sz w:val="18"/>
                <w:szCs w:val="18"/>
              </w:rPr>
              <w:t xml:space="preserve">−903k</w:t>
            </w:r>
          </w:p>
        </w:tc>
        <w:tc>
          <w:tcPr>
            <w:tcW w:type="dxa" w:w="1030"/>
            <w:tcMar>
              <w:top w:type="dxa" w:w="60"/>
              <w:left w:type="dxa" w:w="100"/>
              <w:bottom w:type="dxa" w:w="60"/>
              <w:right w:type="dxa" w:w="100"/>
            </w:tcMar>
          </w:tcPr>
          <w:p>
            <w:r>
              <w:rPr>
                <w:b w:val="false"/>
                <w:bCs w:val="false"/>
                <w:sz w:val="18"/>
                <w:szCs w:val="18"/>
              </w:rPr>
              <w:t xml:space="preserve">−730k</w:t>
            </w:r>
          </w:p>
        </w:tc>
        <w:tc>
          <w:tcPr>
            <w:tcW w:type="dxa" w:w="1030"/>
            <w:tcMar>
              <w:top w:type="dxa" w:w="60"/>
              <w:left w:type="dxa" w:w="100"/>
              <w:bottom w:type="dxa" w:w="60"/>
              <w:right w:type="dxa" w:w="100"/>
            </w:tcMar>
          </w:tcPr>
          <w:p>
            <w:r>
              <w:rPr>
                <w:b w:val="false"/>
                <w:bCs w:val="false"/>
                <w:sz w:val="18"/>
                <w:szCs w:val="18"/>
              </w:rPr>
              <w:t xml:space="preserve">−488k</w:t>
            </w:r>
          </w:p>
        </w:tc>
        <w:tc>
          <w:tcPr>
            <w:tcW w:type="dxa" w:w="1030"/>
            <w:tcMar>
              <w:top w:type="dxa" w:w="60"/>
              <w:left w:type="dxa" w:w="100"/>
              <w:bottom w:type="dxa" w:w="60"/>
              <w:right w:type="dxa" w:w="100"/>
            </w:tcMar>
          </w:tcPr>
          <w:p>
            <w:r>
              <w:rPr>
                <w:b w:val="false"/>
                <w:bCs w:val="false"/>
                <w:sz w:val="18"/>
                <w:szCs w:val="18"/>
              </w:rPr>
              <w:t xml:space="preserve">−591k</w:t>
            </w:r>
          </w:p>
        </w:tc>
        <w:tc>
          <w:tcPr>
            <w:tcW w:type="dxa" w:w="1030"/>
            <w:tcMar>
              <w:top w:type="dxa" w:w="60"/>
              <w:left w:type="dxa" w:w="100"/>
              <w:bottom w:type="dxa" w:w="60"/>
              <w:right w:type="dxa" w:w="100"/>
            </w:tcMar>
          </w:tcPr>
          <w:p>
            <w:r>
              <w:rPr>
                <w:b w:val="false"/>
                <w:bCs w:val="false"/>
                <w:sz w:val="18"/>
                <w:szCs w:val="18"/>
              </w:rPr>
              <w:t xml:space="preserve">−175k</w:t>
            </w:r>
          </w:p>
        </w:tc>
        <w:tc>
          <w:tcPr>
            <w:tcW w:type="dxa" w:w="1050"/>
            <w:tcMar>
              <w:top w:type="dxa" w:w="60"/>
              <w:left w:type="dxa" w:w="100"/>
              <w:bottom w:type="dxa" w:w="60"/>
              <w:right w:type="dxa" w:w="100"/>
            </w:tcMar>
          </w:tcPr>
          <w:p>
            <w:r>
              <w:rPr>
                <w:b w:val="false"/>
                <w:bCs w:val="false"/>
                <w:sz w:val="18"/>
                <w:szCs w:val="18"/>
              </w:rPr>
              <w:t xml:space="preserve">+798k</w:t>
            </w:r>
          </w:p>
        </w:tc>
      </w:tr>
      <w:tr>
        <w:tc>
          <w:tcPr>
            <w:tcW w:type="dxa" w:w="3160"/>
            <w:shd w:fill="F2F2F2" w:val="clear"/>
            <w:tcMar>
              <w:top w:type="dxa" w:w="60"/>
              <w:left w:type="dxa" w:w="100"/>
              <w:bottom w:type="dxa" w:w="60"/>
              <w:right w:type="dxa" w:w="100"/>
            </w:tcMar>
          </w:tcPr>
          <w:p>
            <w:r>
              <w:rPr>
                <w:b w:val="false"/>
                <w:bCs w:val="false"/>
                <w:sz w:val="18"/>
                <w:szCs w:val="18"/>
              </w:rPr>
              <w:t xml:space="preserve">Combined downside</w:t>
            </w:r>
          </w:p>
        </w:tc>
        <w:tc>
          <w:tcPr>
            <w:tcW w:type="dxa" w:w="1030"/>
            <w:shd w:fill="F2F2F2" w:val="clear"/>
            <w:tcMar>
              <w:top w:type="dxa" w:w="60"/>
              <w:left w:type="dxa" w:w="100"/>
              <w:bottom w:type="dxa" w:w="60"/>
              <w:right w:type="dxa" w:w="100"/>
            </w:tcMar>
          </w:tcPr>
          <w:p>
            <w:r>
              <w:rPr>
                <w:b w:val="false"/>
                <w:bCs w:val="false"/>
                <w:sz w:val="18"/>
                <w:szCs w:val="18"/>
              </w:rPr>
              <w:t xml:space="preserve">−1,446k</w:t>
            </w:r>
          </w:p>
        </w:tc>
        <w:tc>
          <w:tcPr>
            <w:tcW w:type="dxa" w:w="1030"/>
            <w:shd w:fill="F2F2F2" w:val="clear"/>
            <w:tcMar>
              <w:top w:type="dxa" w:w="60"/>
              <w:left w:type="dxa" w:w="100"/>
              <w:bottom w:type="dxa" w:w="60"/>
              <w:right w:type="dxa" w:w="100"/>
            </w:tcMar>
          </w:tcPr>
          <w:p>
            <w:r>
              <w:rPr>
                <w:b w:val="false"/>
                <w:bCs w:val="false"/>
                <w:sz w:val="18"/>
                <w:szCs w:val="18"/>
              </w:rPr>
              <w:t xml:space="preserve">−1,143k</w:t>
            </w:r>
          </w:p>
        </w:tc>
        <w:tc>
          <w:tcPr>
            <w:tcW w:type="dxa" w:w="1030"/>
            <w:shd w:fill="F2F2F2" w:val="clear"/>
            <w:tcMar>
              <w:top w:type="dxa" w:w="60"/>
              <w:left w:type="dxa" w:w="100"/>
              <w:bottom w:type="dxa" w:w="60"/>
              <w:right w:type="dxa" w:w="100"/>
            </w:tcMar>
          </w:tcPr>
          <w:p>
            <w:r>
              <w:rPr>
                <w:b w:val="false"/>
                <w:bCs w:val="false"/>
                <w:sz w:val="18"/>
                <w:szCs w:val="18"/>
              </w:rPr>
              <w:t xml:space="preserve">−1,257k</w:t>
            </w:r>
          </w:p>
        </w:tc>
        <w:tc>
          <w:tcPr>
            <w:tcW w:type="dxa" w:w="1030"/>
            <w:shd w:fill="F2F2F2" w:val="clear"/>
            <w:tcMar>
              <w:top w:type="dxa" w:w="60"/>
              <w:left w:type="dxa" w:w="100"/>
              <w:bottom w:type="dxa" w:w="60"/>
              <w:right w:type="dxa" w:w="100"/>
            </w:tcMar>
          </w:tcPr>
          <w:p>
            <w:r>
              <w:rPr>
                <w:b w:val="false"/>
                <w:bCs w:val="false"/>
                <w:sz w:val="18"/>
                <w:szCs w:val="18"/>
              </w:rPr>
              <w:t xml:space="preserve">−1,279k</w:t>
            </w:r>
          </w:p>
        </w:tc>
        <w:tc>
          <w:tcPr>
            <w:tcW w:type="dxa" w:w="1030"/>
            <w:shd w:fill="F2F2F2" w:val="clear"/>
            <w:tcMar>
              <w:top w:type="dxa" w:w="60"/>
              <w:left w:type="dxa" w:w="100"/>
              <w:bottom w:type="dxa" w:w="60"/>
              <w:right w:type="dxa" w:w="100"/>
            </w:tcMar>
          </w:tcPr>
          <w:p>
            <w:r>
              <w:rPr>
                <w:b w:val="false"/>
                <w:bCs w:val="false"/>
                <w:sz w:val="18"/>
                <w:szCs w:val="18"/>
              </w:rPr>
              <w:t xml:space="preserve">−1,056k</w:t>
            </w:r>
          </w:p>
        </w:tc>
        <w:tc>
          <w:tcPr>
            <w:tcW w:type="dxa" w:w="1050"/>
            <w:shd w:fill="F2F2F2" w:val="clear"/>
            <w:tcMar>
              <w:top w:type="dxa" w:w="60"/>
              <w:left w:type="dxa" w:w="100"/>
              <w:bottom w:type="dxa" w:w="60"/>
              <w:right w:type="dxa" w:w="100"/>
            </w:tcMar>
          </w:tcPr>
          <w:p>
            <w:r>
              <w:rPr>
                <w:b w:val="false"/>
                <w:bCs w:val="false"/>
                <w:sz w:val="18"/>
                <w:szCs w:val="18"/>
              </w:rPr>
              <w:t xml:space="preserve">−270k</w:t>
            </w:r>
          </w:p>
        </w:tc>
      </w:tr>
    </w:tbl>
    <w:p>
      <w:pPr>
        <w:pStyle w:val="ListParagraph"/>
        <w:numPr>
          <w:ilvl w:val="0"/>
          <w:numId w:val="2"/>
        </w:numPr>
        <w:spacing w:after="80"/>
      </w:pPr>
      <w:r>
        <w:rPr>
          <w:b/>
          <w:bCs/>
        </w:rPr>
        <w:t xml:space="preserve">S5 is robust, not just optimal: </w:t>
      </w:r>
      <w:r>
        <w:t xml:space="preserve">it stays EBITDA-positive under every single shock and degrades to a survivable −€270k only when all four shocks land at once.</w:t>
      </w:r>
    </w:p>
    <w:p>
      <w:pPr>
        <w:pStyle w:val="ListParagraph"/>
        <w:numPr>
          <w:ilvl w:val="0"/>
          <w:numId w:val="2"/>
        </w:numPr>
        <w:spacing w:after="80"/>
      </w:pPr>
      <w:r>
        <w:rPr>
          <w:b/>
          <w:bCs/>
        </w:rPr>
        <w:t xml:space="preserve">The capacity shock exposes S1’s weakness: </w:t>
      </w:r>
      <w:r>
        <w:t xml:space="preserve">penetration gains are worthless without FDEs to deliver them (S1 drops −€491k under hiring shortfall — the worst single-shock deterioration). Pair any demand lever with the hiring plan.</w:t>
      </w:r>
    </w:p>
    <w:p>
      <w:pPr>
        <w:pStyle w:val="ListParagraph"/>
        <w:numPr>
          <w:ilvl w:val="0"/>
          <w:numId w:val="2"/>
        </w:numPr>
        <w:spacing w:after="80"/>
      </w:pPr>
      <w:r>
        <w:rPr>
          <w:b/>
          <w:bCs/>
        </w:rPr>
        <w:t xml:space="preserve">Diversified pools dampen shocks: </w:t>
      </w:r>
      <w:r>
        <w:t xml:space="preserve">S4 and S5 lose proportionally less under demand loss because road and self-serve demand is uncorrelated with the core pool’s sales cycle.</w:t>
      </w:r>
    </w:p>
    <w:p>
      <w:pPr>
        <w:pStyle w:val="ListParagraph"/>
        <w:numPr>
          <w:ilvl w:val="0"/>
          <w:numId w:val="2"/>
        </w:numPr>
        <w:spacing w:after="80"/>
      </w:pPr>
      <w:r>
        <w:rPr>
          <w:b/>
          <w:bCs/>
        </w:rPr>
        <w:t xml:space="preserve">Price shock is the cheapest to pre-empt: </w:t>
      </w:r>
      <w:r>
        <w:t xml:space="preserve">publishing pricing first (dossier action #1) converts the −20% shock from a competitor-imposed event into a controlled decision.</w:t>
      </w:r>
    </w:p>
    <w:p>
      <w:pPr>
        <w:pStyle w:val="Heading1"/>
        <w:spacing w:after="120" w:before="300"/>
      </w:pPr>
      <w:r>
        <w:rPr>
          <w:color w:val="1F3864"/>
        </w:rPr>
        <w:t xml:space="preserve">5. The decision system — gates, triggers, kill rules</w:t>
      </w:r>
    </w:p>
    <w:p>
      <w:pPr>
        <w:spacing w:after="120"/>
      </w:pPr>
      <w:r>
        <w:rPr>
          <w:b/>
          <w:bCs/>
        </w:rPr>
        <w:t xml:space="preserve">Operating cadence: </w:t>
      </w:r>
      <w:r>
        <w:t xml:space="preserve">quarterly gate review against the workbook; update blue cells with actuals, re-read the verdict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60"/>
        <w:gridCol w:w="2100"/>
        <w:gridCol w:w="2100"/>
      </w:tblGrid>
      <w:tr>
        <w:trPr>
          <w:tblHeader/>
        </w:trPr>
        <w:tc>
          <w:tcPr>
            <w:tcW w:type="dxa" w:w="2100"/>
            <w:shd w:fill="1F3864" w:val="clear"/>
            <w:tcMar>
              <w:top w:type="dxa" w:w="60"/>
              <w:left w:type="dxa" w:w="100"/>
              <w:bottom w:type="dxa" w:w="60"/>
              <w:right w:type="dxa" w:w="100"/>
            </w:tcMar>
          </w:tcPr>
          <w:p>
            <w:r>
              <w:rPr>
                <w:b/>
                <w:bCs/>
                <w:color w:val="FFFFFF"/>
                <w:sz w:val="18"/>
                <w:szCs w:val="18"/>
              </w:rPr>
              <w:t xml:space="preserve">Gate</w:t>
            </w:r>
          </w:p>
        </w:tc>
        <w:tc>
          <w:tcPr>
            <w:tcW w:type="dxa" w:w="3060"/>
            <w:shd w:fill="1F3864" w:val="clear"/>
            <w:tcMar>
              <w:top w:type="dxa" w:w="60"/>
              <w:left w:type="dxa" w:w="100"/>
              <w:bottom w:type="dxa" w:w="60"/>
              <w:right w:type="dxa" w:w="100"/>
            </w:tcMar>
          </w:tcPr>
          <w:p>
            <w:r>
              <w:rPr>
                <w:b/>
                <w:bCs/>
                <w:color w:val="FFFFFF"/>
                <w:sz w:val="18"/>
                <w:szCs w:val="18"/>
              </w:rPr>
              <w:t xml:space="preserve">Trigger (leading indicator)</w:t>
            </w:r>
          </w:p>
        </w:tc>
        <w:tc>
          <w:tcPr>
            <w:tcW w:type="dxa" w:w="2100"/>
            <w:shd w:fill="1F3864" w:val="clear"/>
            <w:tcMar>
              <w:top w:type="dxa" w:w="60"/>
              <w:left w:type="dxa" w:w="100"/>
              <w:bottom w:type="dxa" w:w="60"/>
              <w:right w:type="dxa" w:w="100"/>
            </w:tcMar>
          </w:tcPr>
          <w:p>
            <w:r>
              <w:rPr>
                <w:b/>
                <w:bCs/>
                <w:color w:val="FFFFFF"/>
                <w:sz w:val="18"/>
                <w:szCs w:val="18"/>
              </w:rPr>
              <w:t xml:space="preserve">If met</w:t>
            </w:r>
          </w:p>
        </w:tc>
        <w:tc>
          <w:tcPr>
            <w:tcW w:type="dxa" w:w="2100"/>
            <w:shd w:fill="1F3864" w:val="clear"/>
            <w:tcMar>
              <w:top w:type="dxa" w:w="60"/>
              <w:left w:type="dxa" w:w="100"/>
              <w:bottom w:type="dxa" w:w="60"/>
              <w:right w:type="dxa" w:w="100"/>
            </w:tcMar>
          </w:tcPr>
          <w:p>
            <w:r>
              <w:rPr>
                <w:b/>
                <w:bCs/>
                <w:color w:val="FFFFFF"/>
                <w:sz w:val="18"/>
                <w:szCs w:val="18"/>
              </w:rPr>
              <w:t xml:space="preserve">If missed</w:t>
            </w:r>
          </w:p>
        </w:tc>
      </w:tr>
      <w:tr>
        <w:tc>
          <w:tcPr>
            <w:tcW w:type="dxa" w:w="2100"/>
            <w:tcMar>
              <w:top w:type="dxa" w:w="60"/>
              <w:left w:type="dxa" w:w="100"/>
              <w:bottom w:type="dxa" w:w="60"/>
              <w:right w:type="dxa" w:w="100"/>
            </w:tcMar>
          </w:tcPr>
          <w:p>
            <w:r>
              <w:rPr>
                <w:b w:val="false"/>
                <w:bCs w:val="false"/>
                <w:sz w:val="18"/>
                <w:szCs w:val="18"/>
              </w:rPr>
              <w:t xml:space="preserve">Q+2: Partner channel (S1)</w:t>
            </w:r>
          </w:p>
        </w:tc>
        <w:tc>
          <w:tcPr>
            <w:tcW w:type="dxa" w:w="3060"/>
            <w:tcMar>
              <w:top w:type="dxa" w:w="60"/>
              <w:left w:type="dxa" w:w="100"/>
              <w:bottom w:type="dxa" w:w="60"/>
              <w:right w:type="dxa" w:w="100"/>
            </w:tcMar>
          </w:tcPr>
          <w:p>
            <w:r>
              <w:rPr>
                <w:b w:val="false"/>
                <w:bCs w:val="false"/>
                <w:sz w:val="18"/>
                <w:szCs w:val="18"/>
              </w:rPr>
              <w:t xml:space="preserve">CargoWise listing live; ≥3 partner-sourced qualified leads</w:t>
            </w:r>
          </w:p>
        </w:tc>
        <w:tc>
          <w:tcPr>
            <w:tcW w:type="dxa" w:w="2100"/>
            <w:tcMar>
              <w:top w:type="dxa" w:w="60"/>
              <w:left w:type="dxa" w:w="100"/>
              <w:bottom w:type="dxa" w:w="60"/>
              <w:right w:type="dxa" w:w="100"/>
            </w:tcMar>
          </w:tcPr>
          <w:p>
            <w:r>
              <w:rPr>
                <w:b w:val="false"/>
                <w:bCs w:val="false"/>
                <w:sz w:val="18"/>
                <w:szCs w:val="18"/>
              </w:rPr>
              <w:t xml:space="preserve">Scale: dedicate the GTM hire to it</w:t>
            </w:r>
          </w:p>
        </w:tc>
        <w:tc>
          <w:tcPr>
            <w:tcW w:type="dxa" w:w="2100"/>
            <w:tcMar>
              <w:top w:type="dxa" w:w="60"/>
              <w:left w:type="dxa" w:w="100"/>
              <w:bottom w:type="dxa" w:w="60"/>
              <w:right w:type="dxa" w:w="100"/>
            </w:tcMar>
          </w:tcPr>
          <w:p>
            <w:r>
              <w:rPr>
                <w:b w:val="false"/>
                <w:bCs w:val="false"/>
                <w:sz w:val="18"/>
                <w:szCs w:val="18"/>
              </w:rPr>
              <w:t xml:space="preserve">Kill listing effort; revert to outbound-only</w:t>
            </w:r>
          </w:p>
        </w:tc>
      </w:tr>
      <w:tr>
        <w:tc>
          <w:tcPr>
            <w:tcW w:type="dxa" w:w="2100"/>
            <w:shd w:fill="F2F2F2" w:val="clear"/>
            <w:tcMar>
              <w:top w:type="dxa" w:w="60"/>
              <w:left w:type="dxa" w:w="100"/>
              <w:bottom w:type="dxa" w:w="60"/>
              <w:right w:type="dxa" w:w="100"/>
            </w:tcMar>
          </w:tcPr>
          <w:p>
            <w:r>
              <w:rPr>
                <w:b w:val="false"/>
                <w:bCs w:val="false"/>
                <w:sz w:val="18"/>
                <w:szCs w:val="18"/>
              </w:rPr>
              <w:t xml:space="preserve">Q+2: Pricing (S2 enabler)</w:t>
            </w:r>
          </w:p>
        </w:tc>
        <w:tc>
          <w:tcPr>
            <w:tcW w:type="dxa" w:w="3060"/>
            <w:shd w:fill="F2F2F2" w:val="clear"/>
            <w:tcMar>
              <w:top w:type="dxa" w:w="60"/>
              <w:left w:type="dxa" w:w="100"/>
              <w:bottom w:type="dxa" w:w="60"/>
              <w:right w:type="dxa" w:w="100"/>
            </w:tcMar>
          </w:tcPr>
          <w:p>
            <w:r>
              <w:rPr>
                <w:b w:val="false"/>
                <w:bCs w:val="false"/>
                <w:sz w:val="18"/>
                <w:szCs w:val="18"/>
              </w:rPr>
              <w:t xml:space="preserve">Published rate card; win rate stable ±5pts</w:t>
            </w:r>
          </w:p>
        </w:tc>
        <w:tc>
          <w:tcPr>
            <w:tcW w:type="dxa" w:w="2100"/>
            <w:shd w:fill="F2F2F2" w:val="clear"/>
            <w:tcMar>
              <w:top w:type="dxa" w:w="60"/>
              <w:left w:type="dxa" w:w="100"/>
              <w:bottom w:type="dxa" w:w="60"/>
              <w:right w:type="dxa" w:w="100"/>
            </w:tcMar>
          </w:tcPr>
          <w:p>
            <w:r>
              <w:rPr>
                <w:b w:val="false"/>
                <w:bCs w:val="false"/>
                <w:sz w:val="18"/>
                <w:szCs w:val="18"/>
              </w:rPr>
              <w:t xml:space="preserve">Add deployment fee per expansion Worker</w:t>
            </w:r>
          </w:p>
        </w:tc>
        <w:tc>
          <w:tcPr>
            <w:tcW w:type="dxa" w:w="2100"/>
            <w:shd w:fill="F2F2F2" w:val="clear"/>
            <w:tcMar>
              <w:top w:type="dxa" w:w="60"/>
              <w:left w:type="dxa" w:w="100"/>
              <w:bottom w:type="dxa" w:w="60"/>
              <w:right w:type="dxa" w:w="100"/>
            </w:tcMar>
          </w:tcPr>
          <w:p>
            <w:r>
              <w:rPr>
                <w:b w:val="false"/>
                <w:bCs w:val="false"/>
                <w:sz w:val="18"/>
                <w:szCs w:val="18"/>
              </w:rPr>
              <w:t xml:space="preserve">Re-anchor on labour cost; test 10% lower</w:t>
            </w:r>
          </w:p>
        </w:tc>
      </w:tr>
      <w:tr>
        <w:tc>
          <w:tcPr>
            <w:tcW w:type="dxa" w:w="2100"/>
            <w:tcMar>
              <w:top w:type="dxa" w:w="60"/>
              <w:left w:type="dxa" w:w="100"/>
              <w:bottom w:type="dxa" w:w="60"/>
              <w:right w:type="dxa" w:w="100"/>
            </w:tcMar>
          </w:tcPr>
          <w:p>
            <w:r>
              <w:rPr>
                <w:b w:val="false"/>
                <w:bCs w:val="false"/>
                <w:sz w:val="18"/>
                <w:szCs w:val="18"/>
              </w:rPr>
              <w:t xml:space="preserve">Q+3: Road pool (S4)</w:t>
            </w:r>
          </w:p>
        </w:tc>
        <w:tc>
          <w:tcPr>
            <w:tcW w:type="dxa" w:w="3060"/>
            <w:tcMar>
              <w:top w:type="dxa" w:w="60"/>
              <w:left w:type="dxa" w:w="100"/>
              <w:bottom w:type="dxa" w:w="60"/>
              <w:right w:type="dxa" w:w="100"/>
            </w:tcMar>
          </w:tcPr>
          <w:p>
            <w:r>
              <w:rPr>
                <w:b w:val="false"/>
                <w:bCs w:val="false"/>
                <w:sz w:val="18"/>
                <w:szCs w:val="18"/>
              </w:rPr>
              <w:t xml:space="preserve">Timocom pilot: ≥2 paying road customers</w:t>
            </w:r>
          </w:p>
        </w:tc>
        <w:tc>
          <w:tcPr>
            <w:tcW w:type="dxa" w:w="2100"/>
            <w:tcMar>
              <w:top w:type="dxa" w:w="60"/>
              <w:left w:type="dxa" w:w="100"/>
              <w:bottom w:type="dxa" w:w="60"/>
              <w:right w:type="dxa" w:w="100"/>
            </w:tcMar>
          </w:tcPr>
          <w:p>
            <w:r>
              <w:rPr>
                <w:b w:val="false"/>
                <w:bCs w:val="false"/>
                <w:sz w:val="18"/>
                <w:szCs w:val="18"/>
              </w:rPr>
              <w:t xml:space="preserve">Fund Road Charter Worker roadmap</w:t>
            </w:r>
          </w:p>
        </w:tc>
        <w:tc>
          <w:tcPr>
            <w:tcW w:type="dxa" w:w="2100"/>
            <w:tcMar>
              <w:top w:type="dxa" w:w="60"/>
              <w:left w:type="dxa" w:w="100"/>
              <w:bottom w:type="dxa" w:w="60"/>
              <w:right w:type="dxa" w:w="100"/>
            </w:tcMar>
          </w:tcPr>
          <w:p>
            <w:r>
              <w:rPr>
                <w:b w:val="false"/>
                <w:bCs w:val="false"/>
                <w:sz w:val="18"/>
                <w:szCs w:val="18"/>
              </w:rPr>
              <w:t xml:space="preserve">Park until customs Worker ships</w:t>
            </w:r>
          </w:p>
        </w:tc>
      </w:tr>
      <w:tr>
        <w:tc>
          <w:tcPr>
            <w:tcW w:type="dxa" w:w="2100"/>
            <w:shd w:fill="F2F2F2" w:val="clear"/>
            <w:tcMar>
              <w:top w:type="dxa" w:w="60"/>
              <w:left w:type="dxa" w:w="100"/>
              <w:bottom w:type="dxa" w:w="60"/>
              <w:right w:type="dxa" w:w="100"/>
            </w:tcMar>
          </w:tcPr>
          <w:p>
            <w:r>
              <w:rPr>
                <w:b w:val="false"/>
                <w:bCs w:val="false"/>
                <w:sz w:val="18"/>
                <w:szCs w:val="18"/>
              </w:rPr>
              <w:t xml:space="preserve">Q+4: Self-serve (S3)</w:t>
            </w:r>
          </w:p>
        </w:tc>
        <w:tc>
          <w:tcPr>
            <w:tcW w:type="dxa" w:w="3060"/>
            <w:shd w:fill="F2F2F2" w:val="clear"/>
            <w:tcMar>
              <w:top w:type="dxa" w:w="60"/>
              <w:left w:type="dxa" w:w="100"/>
              <w:bottom w:type="dxa" w:w="60"/>
              <w:right w:type="dxa" w:w="100"/>
            </w:tcMar>
          </w:tcPr>
          <w:p>
            <w:r>
              <w:rPr>
                <w:b w:val="false"/>
                <w:bCs w:val="false"/>
                <w:sz w:val="18"/>
                <w:szCs w:val="18"/>
              </w:rPr>
              <w:t xml:space="preserve">≥20 self-serve signups at ≥€5k, CAC &lt;€1k</w:t>
            </w:r>
          </w:p>
        </w:tc>
        <w:tc>
          <w:tcPr>
            <w:tcW w:type="dxa" w:w="2100"/>
            <w:shd w:fill="F2F2F2" w:val="clear"/>
            <w:tcMar>
              <w:top w:type="dxa" w:w="60"/>
              <w:left w:type="dxa" w:w="100"/>
              <w:bottom w:type="dxa" w:w="60"/>
              <w:right w:type="dxa" w:w="100"/>
            </w:tcMar>
          </w:tcPr>
          <w:p>
            <w:r>
              <w:rPr>
                <w:b w:val="false"/>
                <w:bCs w:val="false"/>
                <w:sz w:val="18"/>
                <w:szCs w:val="18"/>
              </w:rPr>
              <w:t xml:space="preserve">Invest product team</w:t>
            </w:r>
          </w:p>
        </w:tc>
        <w:tc>
          <w:tcPr>
            <w:tcW w:type="dxa" w:w="2100"/>
            <w:shd w:fill="F2F2F2" w:val="clear"/>
            <w:tcMar>
              <w:top w:type="dxa" w:w="60"/>
              <w:left w:type="dxa" w:w="100"/>
              <w:bottom w:type="dxa" w:w="60"/>
              <w:right w:type="dxa" w:w="100"/>
            </w:tcMar>
          </w:tcPr>
          <w:p>
            <w:r>
              <w:rPr>
                <w:b w:val="false"/>
                <w:bCs w:val="false"/>
                <w:sz w:val="18"/>
                <w:szCs w:val="18"/>
              </w:rPr>
              <w:t xml:space="preserve">Kill — the tail waits; focus S1+S2</w:t>
            </w:r>
          </w:p>
        </w:tc>
      </w:tr>
      <w:tr>
        <w:tc>
          <w:tcPr>
            <w:tcW w:type="dxa" w:w="2100"/>
            <w:tcMar>
              <w:top w:type="dxa" w:w="60"/>
              <w:left w:type="dxa" w:w="100"/>
              <w:bottom w:type="dxa" w:w="60"/>
              <w:right w:type="dxa" w:w="100"/>
            </w:tcMar>
          </w:tcPr>
          <w:p>
            <w:r>
              <w:rPr>
                <w:b w:val="false"/>
                <w:bCs w:val="false"/>
                <w:sz w:val="18"/>
                <w:szCs w:val="18"/>
              </w:rPr>
              <w:t xml:space="preserve">Continuous: capacity</w:t>
            </w:r>
          </w:p>
        </w:tc>
        <w:tc>
          <w:tcPr>
            <w:tcW w:type="dxa" w:w="3060"/>
            <w:tcMar>
              <w:top w:type="dxa" w:w="60"/>
              <w:left w:type="dxa" w:w="100"/>
              <w:bottom w:type="dxa" w:w="60"/>
              <w:right w:type="dxa" w:w="100"/>
            </w:tcMar>
          </w:tcPr>
          <w:p>
            <w:r>
              <w:rPr>
                <w:b w:val="false"/>
                <w:bCs w:val="false"/>
                <w:sz w:val="18"/>
                <w:szCs w:val="18"/>
              </w:rPr>
              <w:t xml:space="preserve">FDE utilisation &gt;85% or hiring behind plan</w:t>
            </w:r>
          </w:p>
        </w:tc>
        <w:tc>
          <w:tcPr>
            <w:tcW w:type="dxa" w:w="2100"/>
            <w:tcMar>
              <w:top w:type="dxa" w:w="60"/>
              <w:left w:type="dxa" w:w="100"/>
              <w:bottom w:type="dxa" w:w="60"/>
              <w:right w:type="dxa" w:w="100"/>
            </w:tcMar>
          </w:tcPr>
          <w:p>
            <w:r>
              <w:rPr>
                <w:b w:val="false"/>
                <w:bCs w:val="false"/>
                <w:sz w:val="18"/>
                <w:szCs w:val="18"/>
              </w:rPr>
              <w:t xml:space="preserve">Hire ahead of demand (growth budget)</w:t>
            </w:r>
          </w:p>
        </w:tc>
        <w:tc>
          <w:tcPr>
            <w:tcW w:type="dxa" w:w="2100"/>
            <w:tcMar>
              <w:top w:type="dxa" w:w="60"/>
              <w:left w:type="dxa" w:w="100"/>
              <w:bottom w:type="dxa" w:w="60"/>
              <w:right w:type="dxa" w:w="100"/>
            </w:tcMar>
          </w:tcPr>
          <w:p>
            <w:r>
              <w:rPr>
                <w:b w:val="false"/>
                <w:bCs w:val="false"/>
                <w:sz w:val="18"/>
                <w:szCs w:val="18"/>
              </w:rPr>
              <w:t xml:space="preserve">Throttle new logos before quality slips</w:t>
            </w:r>
          </w:p>
        </w:tc>
      </w:tr>
      <w:tr>
        <w:tc>
          <w:tcPr>
            <w:tcW w:type="dxa" w:w="2100"/>
            <w:shd w:fill="F2F2F2" w:val="clear"/>
            <w:tcMar>
              <w:top w:type="dxa" w:w="60"/>
              <w:left w:type="dxa" w:w="100"/>
              <w:bottom w:type="dxa" w:w="60"/>
              <w:right w:type="dxa" w:w="100"/>
            </w:tcMar>
          </w:tcPr>
          <w:p>
            <w:r>
              <w:rPr>
                <w:b w:val="false"/>
                <w:bCs w:val="false"/>
                <w:sz w:val="18"/>
                <w:szCs w:val="18"/>
              </w:rPr>
              <w:t xml:space="preserve">Continuous: cash</w:t>
            </w:r>
          </w:p>
        </w:tc>
        <w:tc>
          <w:tcPr>
            <w:tcW w:type="dxa" w:w="3060"/>
            <w:shd w:fill="F2F2F2" w:val="clear"/>
            <w:tcMar>
              <w:top w:type="dxa" w:w="60"/>
              <w:left w:type="dxa" w:w="100"/>
              <w:bottom w:type="dxa" w:w="60"/>
              <w:right w:type="dxa" w:w="100"/>
            </w:tcMar>
          </w:tcPr>
          <w:p>
            <w:r>
              <w:rPr>
                <w:b w:val="false"/>
                <w:bCs w:val="false"/>
                <w:sz w:val="18"/>
                <w:szCs w:val="18"/>
              </w:rPr>
              <w:t xml:space="preserve">&lt;12 months runway at current burn</w:t>
            </w:r>
          </w:p>
        </w:tc>
        <w:tc>
          <w:tcPr>
            <w:tcW w:type="dxa" w:w="2100"/>
            <w:shd w:fill="F2F2F2" w:val="clear"/>
            <w:tcMar>
              <w:top w:type="dxa" w:w="60"/>
              <w:left w:type="dxa" w:w="100"/>
              <w:bottom w:type="dxa" w:w="60"/>
              <w:right w:type="dxa" w:w="100"/>
            </w:tcMar>
          </w:tcPr>
          <w:p>
            <w:r>
              <w:rPr>
                <w:b w:val="false"/>
                <w:bCs w:val="false"/>
                <w:sz w:val="18"/>
                <w:szCs w:val="18"/>
              </w:rPr>
              <w:t xml:space="preserve">—</w:t>
            </w:r>
          </w:p>
        </w:tc>
        <w:tc>
          <w:tcPr>
            <w:tcW w:type="dxa" w:w="2100"/>
            <w:shd w:fill="F2F2F2" w:val="clear"/>
            <w:tcMar>
              <w:top w:type="dxa" w:w="60"/>
              <w:left w:type="dxa" w:w="100"/>
              <w:bottom w:type="dxa" w:w="60"/>
              <w:right w:type="dxa" w:w="100"/>
            </w:tcMar>
          </w:tcPr>
          <w:p>
            <w:r>
              <w:rPr>
                <w:b w:val="false"/>
                <w:bCs w:val="false"/>
                <w:sz w:val="18"/>
                <w:szCs w:val="18"/>
              </w:rPr>
              <w:t xml:space="preserve">Start the raise (dossier: 18–24mo window)</w:t>
            </w:r>
          </w:p>
        </w:tc>
      </w:tr>
    </w:tbl>
    <w:p>
      <w:pPr>
        <w:spacing w:after="120"/>
      </w:pPr>
      <w:r>
        <w:rPr>
          <w:b/>
          <w:bCs/>
        </w:rPr>
        <w:t xml:space="preserve">KPIs the system watches </w:t>
      </w:r>
      <w:r>
        <w:t xml:space="preserve">(all already in 5U AI’s own vocabulary): automation rate per account (health), FDE utilisation (capacity), pipeline coverage per pool (volume), blended ACV (price), net revenue retention (churn), partner-sourced lead share (channel).</w:t>
      </w:r>
    </w:p>
    <w:p>
      <w:pPr>
        <w:pStyle w:val="Heading1"/>
        <w:spacing w:after="120" w:before="300"/>
      </w:pPr>
      <w:r>
        <w:rPr>
          <w:color w:val="1F3864"/>
        </w:rPr>
        <w:t xml:space="preserve">6. Event &amp; network plan — where the ICP concentrates</w:t>
      </w:r>
    </w:p>
    <w:p>
      <w:pPr>
        <w:spacing w:after="120"/>
      </w:pPr>
      <w:r>
        <w:t xml:space="preserve">Purpose per event is marked: </w:t>
      </w:r>
      <w:r>
        <w:rPr>
          <w:b/>
          <w:bCs/>
        </w:rPr>
        <w:t xml:space="preserve">P</w:t>
      </w:r>
      <w:r>
        <w:t xml:space="preserve"> = pipeline (meet buyers), </w:t>
      </w:r>
      <w:r>
        <w:rPr>
          <w:b/>
          <w:bCs/>
        </w:rPr>
        <w:t xml:space="preserve">R</w:t>
      </w:r>
      <w:r>
        <w:t xml:space="preserve"> = reputation (speak/exhibit), </w:t>
      </w:r>
      <w:r>
        <w:rPr>
          <w:b/>
          <w:bCs/>
        </w:rPr>
        <w:t xml:space="preserve">C</w:t>
      </w:r>
      <w:r>
        <w:t xml:space="preserve"> = channel (partners). Ordered by expected ICP density for a DACH+Benelux mid-sized forwarder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0"/>
        <w:gridCol w:w="1900"/>
        <w:gridCol w:w="4000"/>
        <w:gridCol w:w="1200"/>
      </w:tblGrid>
      <w:tr>
        <w:trPr>
          <w:tblHeader/>
        </w:trPr>
        <w:tc>
          <w:tcPr>
            <w:tcW w:type="dxa" w:w="2260"/>
            <w:shd w:fill="1F3864" w:val="clear"/>
            <w:tcMar>
              <w:top w:type="dxa" w:w="60"/>
              <w:left w:type="dxa" w:w="100"/>
              <w:bottom w:type="dxa" w:w="60"/>
              <w:right w:type="dxa" w:w="100"/>
            </w:tcMar>
          </w:tcPr>
          <w:p>
            <w:r>
              <w:rPr>
                <w:b/>
                <w:bCs/>
                <w:color w:val="FFFFFF"/>
                <w:sz w:val="18"/>
                <w:szCs w:val="18"/>
              </w:rPr>
              <w:t xml:space="preserve">Event</w:t>
            </w:r>
          </w:p>
        </w:tc>
        <w:tc>
          <w:tcPr>
            <w:tcW w:type="dxa" w:w="1900"/>
            <w:shd w:fill="1F3864" w:val="clear"/>
            <w:tcMar>
              <w:top w:type="dxa" w:w="60"/>
              <w:left w:type="dxa" w:w="100"/>
              <w:bottom w:type="dxa" w:w="60"/>
              <w:right w:type="dxa" w:w="100"/>
            </w:tcMar>
          </w:tcPr>
          <w:p>
            <w:r>
              <w:rPr>
                <w:b/>
                <w:bCs/>
                <w:color w:val="FFFFFF"/>
                <w:sz w:val="18"/>
                <w:szCs w:val="18"/>
              </w:rPr>
              <w:t xml:space="preserve">When / where</w:t>
            </w:r>
          </w:p>
        </w:tc>
        <w:tc>
          <w:tcPr>
            <w:tcW w:type="dxa" w:w="4000"/>
            <w:shd w:fill="1F3864" w:val="clear"/>
            <w:tcMar>
              <w:top w:type="dxa" w:w="60"/>
              <w:left w:type="dxa" w:w="100"/>
              <w:bottom w:type="dxa" w:w="60"/>
              <w:right w:type="dxa" w:w="100"/>
            </w:tcMar>
          </w:tcPr>
          <w:p>
            <w:r>
              <w:rPr>
                <w:b/>
                <w:bCs/>
                <w:color w:val="FFFFFF"/>
                <w:sz w:val="18"/>
                <w:szCs w:val="18"/>
              </w:rPr>
              <w:t xml:space="preserve">Why for 5U AI</w:t>
            </w:r>
          </w:p>
        </w:tc>
        <w:tc>
          <w:tcPr>
            <w:tcW w:type="dxa" w:w="1200"/>
            <w:shd w:fill="1F3864" w:val="clear"/>
            <w:tcMar>
              <w:top w:type="dxa" w:w="60"/>
              <w:left w:type="dxa" w:w="100"/>
              <w:bottom w:type="dxa" w:w="60"/>
              <w:right w:type="dxa" w:w="100"/>
            </w:tcMar>
          </w:tcPr>
          <w:p>
            <w:r>
              <w:rPr>
                <w:b/>
                <w:bCs/>
                <w:color w:val="FFFFFF"/>
                <w:sz w:val="18"/>
                <w:szCs w:val="18"/>
              </w:rPr>
              <w:t xml:space="preserve">Use</w:t>
            </w:r>
          </w:p>
        </w:tc>
      </w:tr>
      <w:tr>
        <w:tc>
          <w:tcPr>
            <w:tcW w:type="dxa" w:w="2260"/>
            <w:tcMar>
              <w:top w:type="dxa" w:w="60"/>
              <w:left w:type="dxa" w:w="100"/>
              <w:bottom w:type="dxa" w:w="60"/>
              <w:right w:type="dxa" w:w="100"/>
            </w:tcMar>
          </w:tcPr>
          <w:p>
            <w:r>
              <w:rPr>
                <w:b w:val="false"/>
                <w:bCs w:val="false"/>
                <w:sz w:val="18"/>
                <w:szCs w:val="18"/>
              </w:rPr>
              <w:t xml:space="preserve">transport logistic Munich (incl. Air Cargo Europe)</w:t>
            </w:r>
          </w:p>
        </w:tc>
        <w:tc>
          <w:tcPr>
            <w:tcW w:type="dxa" w:w="1900"/>
            <w:tcMar>
              <w:top w:type="dxa" w:w="60"/>
              <w:left w:type="dxa" w:w="100"/>
              <w:bottom w:type="dxa" w:w="60"/>
              <w:right w:type="dxa" w:w="100"/>
            </w:tcMar>
          </w:tcPr>
          <w:p>
            <w:r>
              <w:rPr>
                <w:b w:val="false"/>
                <w:bCs w:val="false"/>
                <w:sz w:val="18"/>
                <w:szCs w:val="18"/>
              </w:rPr>
              <w:t xml:space="preserve">26–29 Apr 2027, Munich</w:t>
            </w:r>
          </w:p>
        </w:tc>
        <w:tc>
          <w:tcPr>
            <w:tcW w:type="dxa" w:w="4000"/>
            <w:tcMar>
              <w:top w:type="dxa" w:w="60"/>
              <w:left w:type="dxa" w:w="100"/>
              <w:bottom w:type="dxa" w:w="60"/>
              <w:right w:type="dxa" w:w="100"/>
            </w:tcMar>
          </w:tcPr>
          <w:p>
            <w:r>
              <w:rPr>
                <w:b w:val="false"/>
                <w:bCs w:val="false"/>
                <w:sz w:val="18"/>
                <w:szCs w:val="18"/>
              </w:rPr>
              <w:t xml:space="preserve">World’s largest logistics fair, on home turf; every DACH forwarder that matters attends. Book stand + speaking slot in 2026 — the anchor event of the plan.</w:t>
            </w:r>
          </w:p>
        </w:tc>
        <w:tc>
          <w:tcPr>
            <w:tcW w:type="dxa" w:w="1200"/>
            <w:tcMar>
              <w:top w:type="dxa" w:w="60"/>
              <w:left w:type="dxa" w:w="100"/>
              <w:bottom w:type="dxa" w:w="60"/>
              <w:right w:type="dxa" w:w="100"/>
            </w:tcMar>
          </w:tcPr>
          <w:p>
            <w:r>
              <w:rPr>
                <w:b w:val="false"/>
                <w:bCs w:val="false"/>
                <w:sz w:val="18"/>
                <w:szCs w:val="18"/>
              </w:rPr>
              <w:t xml:space="preserve">P R C</w:t>
            </w:r>
          </w:p>
        </w:tc>
      </w:tr>
      <w:tr>
        <w:tc>
          <w:tcPr>
            <w:tcW w:type="dxa" w:w="2260"/>
            <w:shd w:fill="F2F2F2" w:val="clear"/>
            <w:tcMar>
              <w:top w:type="dxa" w:w="60"/>
              <w:left w:type="dxa" w:w="100"/>
              <w:bottom w:type="dxa" w:w="60"/>
              <w:right w:type="dxa" w:w="100"/>
            </w:tcMar>
          </w:tcPr>
          <w:p>
            <w:r>
              <w:rPr>
                <w:b w:val="false"/>
                <w:bCs w:val="false"/>
                <w:sz w:val="18"/>
                <w:szCs w:val="18"/>
              </w:rPr>
              <w:t xml:space="preserve">FIATA World Congress (centenary)</w:t>
            </w:r>
          </w:p>
        </w:tc>
        <w:tc>
          <w:tcPr>
            <w:tcW w:type="dxa" w:w="1900"/>
            <w:shd w:fill="F2F2F2" w:val="clear"/>
            <w:tcMar>
              <w:top w:type="dxa" w:w="60"/>
              <w:left w:type="dxa" w:w="100"/>
              <w:bottom w:type="dxa" w:w="60"/>
              <w:right w:type="dxa" w:w="100"/>
            </w:tcMar>
          </w:tcPr>
          <w:p>
            <w:r>
              <w:rPr>
                <w:b w:val="false"/>
                <w:bCs w:val="false"/>
                <w:sz w:val="18"/>
                <w:szCs w:val="18"/>
              </w:rPr>
              <w:t xml:space="preserve">6–9 Oct 2026, Milan</w:t>
            </w:r>
          </w:p>
        </w:tc>
        <w:tc>
          <w:tcPr>
            <w:tcW w:type="dxa" w:w="4000"/>
            <w:shd w:fill="F2F2F2" w:val="clear"/>
            <w:tcMar>
              <w:top w:type="dxa" w:w="60"/>
              <w:left w:type="dxa" w:w="100"/>
              <w:bottom w:type="dxa" w:w="60"/>
              <w:right w:type="dxa" w:w="100"/>
            </w:tcMar>
          </w:tcPr>
          <w:p>
            <w:r>
              <w:rPr>
                <w:b w:val="false"/>
                <w:bCs w:val="false"/>
                <w:sz w:val="18"/>
                <w:szCs w:val="18"/>
              </w:rPr>
              <w:t xml:space="preserve">700–1,000 forwarding-association delegates; the MD-level audience that buys on peer proof. Centenary edition = maximum senior turnout.</w:t>
            </w:r>
          </w:p>
        </w:tc>
        <w:tc>
          <w:tcPr>
            <w:tcW w:type="dxa" w:w="1200"/>
            <w:shd w:fill="F2F2F2" w:val="clear"/>
            <w:tcMar>
              <w:top w:type="dxa" w:w="60"/>
              <w:left w:type="dxa" w:w="100"/>
              <w:bottom w:type="dxa" w:w="60"/>
              <w:right w:type="dxa" w:w="100"/>
            </w:tcMar>
          </w:tcPr>
          <w:p>
            <w:r>
              <w:rPr>
                <w:b w:val="false"/>
                <w:bCs w:val="false"/>
                <w:sz w:val="18"/>
                <w:szCs w:val="18"/>
              </w:rPr>
              <w:t xml:space="preserve">P R</w:t>
            </w:r>
          </w:p>
        </w:tc>
      </w:tr>
      <w:tr>
        <w:tc>
          <w:tcPr>
            <w:tcW w:type="dxa" w:w="2260"/>
            <w:tcMar>
              <w:top w:type="dxa" w:w="60"/>
              <w:left w:type="dxa" w:w="100"/>
              <w:bottom w:type="dxa" w:w="60"/>
              <w:right w:type="dxa" w:w="100"/>
            </w:tcMar>
          </w:tcPr>
          <w:p>
            <w:r>
              <w:rPr>
                <w:b w:val="false"/>
                <w:bCs w:val="false"/>
                <w:sz w:val="18"/>
                <w:szCs w:val="18"/>
              </w:rPr>
              <w:t xml:space="preserve">WCA Worldwide Conference</w:t>
            </w:r>
          </w:p>
        </w:tc>
        <w:tc>
          <w:tcPr>
            <w:tcW w:type="dxa" w:w="1900"/>
            <w:tcMar>
              <w:top w:type="dxa" w:w="60"/>
              <w:left w:type="dxa" w:w="100"/>
              <w:bottom w:type="dxa" w:w="60"/>
              <w:right w:type="dxa" w:w="100"/>
            </w:tcMar>
          </w:tcPr>
          <w:p>
            <w:r>
              <w:rPr>
                <w:b w:val="false"/>
                <w:bCs w:val="false"/>
                <w:sz w:val="18"/>
                <w:szCs w:val="18"/>
              </w:rPr>
              <w:t xml:space="preserve">Mar 2027, (2026: Singapore, 4,300+ forwarders)</w:t>
            </w:r>
          </w:p>
        </w:tc>
        <w:tc>
          <w:tcPr>
            <w:tcW w:type="dxa" w:w="4000"/>
            <w:tcMar>
              <w:top w:type="dxa" w:w="60"/>
              <w:left w:type="dxa" w:w="100"/>
              <w:bottom w:type="dxa" w:w="60"/>
              <w:right w:type="dxa" w:w="100"/>
            </w:tcMar>
          </w:tcPr>
          <w:p>
            <w:r>
              <w:rPr>
                <w:b w:val="false"/>
                <w:bCs w:val="false"/>
                <w:sz w:val="18"/>
                <w:szCs w:val="18"/>
              </w:rPr>
              <w:t xml:space="preserve">The largest independent-forwarder network event; 80,000 pre-scheduled 1:1 meetings — structurally built for meeting mid-sized independents. Consider WCA membership first.</w:t>
            </w:r>
          </w:p>
        </w:tc>
        <w:tc>
          <w:tcPr>
            <w:tcW w:type="dxa" w:w="1200"/>
            <w:tcMar>
              <w:top w:type="dxa" w:w="60"/>
              <w:left w:type="dxa" w:w="100"/>
              <w:bottom w:type="dxa" w:w="60"/>
              <w:right w:type="dxa" w:w="100"/>
            </w:tcMar>
          </w:tcPr>
          <w:p>
            <w:r>
              <w:rPr>
                <w:b w:val="false"/>
                <w:bCs w:val="false"/>
                <w:sz w:val="18"/>
                <w:szCs w:val="18"/>
              </w:rPr>
              <w:t xml:space="preserve">P</w:t>
            </w:r>
          </w:p>
        </w:tc>
      </w:tr>
      <w:tr>
        <w:tc>
          <w:tcPr>
            <w:tcW w:type="dxa" w:w="2260"/>
            <w:shd w:fill="F2F2F2" w:val="clear"/>
            <w:tcMar>
              <w:top w:type="dxa" w:w="60"/>
              <w:left w:type="dxa" w:w="100"/>
              <w:bottom w:type="dxa" w:w="60"/>
              <w:right w:type="dxa" w:w="100"/>
            </w:tcMar>
          </w:tcPr>
          <w:p>
            <w:r>
              <w:rPr>
                <w:b w:val="false"/>
                <w:bCs w:val="false"/>
                <w:sz w:val="18"/>
                <w:szCs w:val="18"/>
              </w:rPr>
              <w:t xml:space="preserve">Transport &amp; Logistics Ghent</w:t>
            </w:r>
          </w:p>
        </w:tc>
        <w:tc>
          <w:tcPr>
            <w:tcW w:type="dxa" w:w="1900"/>
            <w:shd w:fill="F2F2F2" w:val="clear"/>
            <w:tcMar>
              <w:top w:type="dxa" w:w="60"/>
              <w:left w:type="dxa" w:w="100"/>
              <w:bottom w:type="dxa" w:w="60"/>
              <w:right w:type="dxa" w:w="100"/>
            </w:tcMar>
          </w:tcPr>
          <w:p>
            <w:r>
              <w:rPr>
                <w:b w:val="false"/>
                <w:bCs w:val="false"/>
                <w:sz w:val="18"/>
                <w:szCs w:val="18"/>
              </w:rPr>
              <w:t xml:space="preserve">22–23 Sep 2026, Ghent (2027: Antwerp)</w:t>
            </w:r>
          </w:p>
        </w:tc>
        <w:tc>
          <w:tcPr>
            <w:tcW w:type="dxa" w:w="4000"/>
            <w:shd w:fill="F2F2F2" w:val="clear"/>
            <w:tcMar>
              <w:top w:type="dxa" w:w="60"/>
              <w:left w:type="dxa" w:w="100"/>
              <w:bottom w:type="dxa" w:w="60"/>
              <w:right w:type="dxa" w:w="100"/>
            </w:tcMar>
          </w:tcPr>
          <w:p>
            <w:r>
              <w:rPr>
                <w:b w:val="false"/>
                <w:bCs w:val="false"/>
                <w:sz w:val="18"/>
                <w:szCs w:val="18"/>
              </w:rPr>
              <w:t xml:space="preserve">The Benelux beachhead’s own fair; Antwerp/Rotterdam forwarding community in one hall.</w:t>
            </w:r>
          </w:p>
        </w:tc>
        <w:tc>
          <w:tcPr>
            <w:tcW w:type="dxa" w:w="1200"/>
            <w:shd w:fill="F2F2F2" w:val="clear"/>
            <w:tcMar>
              <w:top w:type="dxa" w:w="60"/>
              <w:left w:type="dxa" w:w="100"/>
              <w:bottom w:type="dxa" w:w="60"/>
              <w:right w:type="dxa" w:w="100"/>
            </w:tcMar>
          </w:tcPr>
          <w:p>
            <w:r>
              <w:rPr>
                <w:b w:val="false"/>
                <w:bCs w:val="false"/>
                <w:sz w:val="18"/>
                <w:szCs w:val="18"/>
              </w:rPr>
              <w:t xml:space="preserve">P R</w:t>
            </w:r>
          </w:p>
        </w:tc>
      </w:tr>
      <w:tr>
        <w:tc>
          <w:tcPr>
            <w:tcW w:type="dxa" w:w="2260"/>
            <w:tcMar>
              <w:top w:type="dxa" w:w="60"/>
              <w:left w:type="dxa" w:w="100"/>
              <w:bottom w:type="dxa" w:w="60"/>
              <w:right w:type="dxa" w:w="100"/>
            </w:tcMar>
          </w:tcPr>
          <w:p>
            <w:r>
              <w:rPr>
                <w:b w:val="false"/>
                <w:bCs w:val="false"/>
                <w:sz w:val="18"/>
                <w:szCs w:val="18"/>
              </w:rPr>
              <w:t xml:space="preserve">BVL Supply Chain CX (ex-Deutscher Logistik-Kongress)</w:t>
            </w:r>
          </w:p>
        </w:tc>
        <w:tc>
          <w:tcPr>
            <w:tcW w:type="dxa" w:w="1900"/>
            <w:tcMar>
              <w:top w:type="dxa" w:w="60"/>
              <w:left w:type="dxa" w:w="100"/>
              <w:bottom w:type="dxa" w:w="60"/>
              <w:right w:type="dxa" w:w="100"/>
            </w:tcMar>
          </w:tcPr>
          <w:p>
            <w:r>
              <w:rPr>
                <w:b w:val="false"/>
                <w:bCs w:val="false"/>
                <w:sz w:val="18"/>
                <w:szCs w:val="18"/>
              </w:rPr>
              <w:t xml:space="preserve">21–22 Oct 2026, Berlin</w:t>
            </w:r>
          </w:p>
        </w:tc>
        <w:tc>
          <w:tcPr>
            <w:tcW w:type="dxa" w:w="4000"/>
            <w:tcMar>
              <w:top w:type="dxa" w:w="60"/>
              <w:left w:type="dxa" w:w="100"/>
              <w:bottom w:type="dxa" w:w="60"/>
              <w:right w:type="dxa" w:w="100"/>
            </w:tcMar>
          </w:tcPr>
          <w:p>
            <w:r>
              <w:rPr>
                <w:b w:val="false"/>
                <w:bCs w:val="false"/>
                <w:sz w:val="18"/>
                <w:szCs w:val="18"/>
              </w:rPr>
              <w:t xml:space="preserve">DACH logistics leadership network; more shipper-side, but the right stage for the EU-AI-Act / ‘decision layer’ thought-leadership angle.</w:t>
            </w:r>
          </w:p>
        </w:tc>
        <w:tc>
          <w:tcPr>
            <w:tcW w:type="dxa" w:w="1200"/>
            <w:tcMar>
              <w:top w:type="dxa" w:w="60"/>
              <w:left w:type="dxa" w:w="100"/>
              <w:bottom w:type="dxa" w:w="60"/>
              <w:right w:type="dxa" w:w="100"/>
            </w:tcMar>
          </w:tcPr>
          <w:p>
            <w:r>
              <w:rPr>
                <w:b w:val="false"/>
                <w:bCs w:val="false"/>
                <w:sz w:val="18"/>
                <w:szCs w:val="18"/>
              </w:rPr>
              <w:t xml:space="preserve">R</w:t>
            </w:r>
          </w:p>
        </w:tc>
      </w:tr>
      <w:tr>
        <w:tc>
          <w:tcPr>
            <w:tcW w:type="dxa" w:w="2260"/>
            <w:shd w:fill="F2F2F2" w:val="clear"/>
            <w:tcMar>
              <w:top w:type="dxa" w:w="60"/>
              <w:left w:type="dxa" w:w="100"/>
              <w:bottom w:type="dxa" w:w="60"/>
              <w:right w:type="dxa" w:w="100"/>
            </w:tcMar>
          </w:tcPr>
          <w:p>
            <w:r>
              <w:rPr>
                <w:b w:val="false"/>
                <w:bCs w:val="false"/>
                <w:sz w:val="18"/>
                <w:szCs w:val="18"/>
              </w:rPr>
              <w:t xml:space="preserve">Breakbulk Europe</w:t>
            </w:r>
          </w:p>
        </w:tc>
        <w:tc>
          <w:tcPr>
            <w:tcW w:type="dxa" w:w="1900"/>
            <w:shd w:fill="F2F2F2" w:val="clear"/>
            <w:tcMar>
              <w:top w:type="dxa" w:w="60"/>
              <w:left w:type="dxa" w:w="100"/>
              <w:bottom w:type="dxa" w:w="60"/>
              <w:right w:type="dxa" w:w="100"/>
            </w:tcMar>
          </w:tcPr>
          <w:p>
            <w:r>
              <w:rPr>
                <w:b w:val="false"/>
                <w:bCs w:val="false"/>
                <w:sz w:val="18"/>
                <w:szCs w:val="18"/>
              </w:rPr>
              <w:t xml:space="preserve">16–18 Jun 2026, Rotterdam</w:t>
            </w:r>
          </w:p>
        </w:tc>
        <w:tc>
          <w:tcPr>
            <w:tcW w:type="dxa" w:w="4000"/>
            <w:shd w:fill="F2F2F2" w:val="clear"/>
            <w:tcMar>
              <w:top w:type="dxa" w:w="60"/>
              <w:left w:type="dxa" w:w="100"/>
              <w:bottom w:type="dxa" w:w="60"/>
              <w:right w:type="dxa" w:w="100"/>
            </w:tcMar>
          </w:tcPr>
          <w:p>
            <w:r>
              <w:rPr>
                <w:b w:val="false"/>
                <w:bCs w:val="false"/>
                <w:sz w:val="18"/>
                <w:szCs w:val="18"/>
              </w:rPr>
              <w:t xml:space="preserve">Project/breakbulk forwarders — heavy-touch, documentation-intensive ops = strong Worker fit; entire Benelux port cluster present.</w:t>
            </w:r>
          </w:p>
        </w:tc>
        <w:tc>
          <w:tcPr>
            <w:tcW w:type="dxa" w:w="1200"/>
            <w:shd w:fill="F2F2F2" w:val="clear"/>
            <w:tcMar>
              <w:top w:type="dxa" w:w="60"/>
              <w:left w:type="dxa" w:w="100"/>
              <w:bottom w:type="dxa" w:w="60"/>
              <w:right w:type="dxa" w:w="100"/>
            </w:tcMar>
          </w:tcPr>
          <w:p>
            <w:r>
              <w:rPr>
                <w:b w:val="false"/>
                <w:bCs w:val="false"/>
                <w:sz w:val="18"/>
                <w:szCs w:val="18"/>
              </w:rPr>
              <w:t xml:space="preserve">P</w:t>
            </w:r>
          </w:p>
        </w:tc>
      </w:tr>
      <w:tr>
        <w:tc>
          <w:tcPr>
            <w:tcW w:type="dxa" w:w="2260"/>
            <w:tcMar>
              <w:top w:type="dxa" w:w="60"/>
              <w:left w:type="dxa" w:w="100"/>
              <w:bottom w:type="dxa" w:w="60"/>
              <w:right w:type="dxa" w:w="100"/>
            </w:tcMar>
          </w:tcPr>
          <w:p>
            <w:r>
              <w:rPr>
                <w:b w:val="false"/>
                <w:bCs w:val="false"/>
                <w:sz w:val="18"/>
                <w:szCs w:val="18"/>
              </w:rPr>
              <w:t xml:space="preserve">Forwarder network AGMs (Globalia, Lognet, NAP, etc.)</w:t>
            </w:r>
          </w:p>
        </w:tc>
        <w:tc>
          <w:tcPr>
            <w:tcW w:type="dxa" w:w="1900"/>
            <w:tcMar>
              <w:top w:type="dxa" w:w="60"/>
              <w:left w:type="dxa" w:w="100"/>
              <w:bottom w:type="dxa" w:w="60"/>
              <w:right w:type="dxa" w:w="100"/>
            </w:tcMar>
          </w:tcPr>
          <w:p>
            <w:r>
              <w:rPr>
                <w:b w:val="false"/>
                <w:bCs w:val="false"/>
                <w:sz w:val="18"/>
                <w:szCs w:val="18"/>
              </w:rPr>
              <w:t xml:space="preserve">Rolling, various</w:t>
            </w:r>
          </w:p>
        </w:tc>
        <w:tc>
          <w:tcPr>
            <w:tcW w:type="dxa" w:w="4000"/>
            <w:tcMar>
              <w:top w:type="dxa" w:w="60"/>
              <w:left w:type="dxa" w:w="100"/>
              <w:bottom w:type="dxa" w:w="60"/>
              <w:right w:type="dxa" w:w="100"/>
            </w:tcMar>
          </w:tcPr>
          <w:p>
            <w:r>
              <w:rPr>
                <w:b w:val="false"/>
                <w:bCs w:val="false"/>
                <w:sz w:val="18"/>
                <w:szCs w:val="18"/>
              </w:rPr>
              <w:t xml:space="preserve">Same logic as WCA at smaller scale: rooms of 100–500-employee independents. One sponsorship per network per year is cheap and targeted.</w:t>
            </w:r>
          </w:p>
        </w:tc>
        <w:tc>
          <w:tcPr>
            <w:tcW w:type="dxa" w:w="1200"/>
            <w:tcMar>
              <w:top w:type="dxa" w:w="60"/>
              <w:left w:type="dxa" w:w="100"/>
              <w:bottom w:type="dxa" w:w="60"/>
              <w:right w:type="dxa" w:w="100"/>
            </w:tcMar>
          </w:tcPr>
          <w:p>
            <w:r>
              <w:rPr>
                <w:b w:val="false"/>
                <w:bCs w:val="false"/>
                <w:sz w:val="18"/>
                <w:szCs w:val="18"/>
              </w:rPr>
              <w:t xml:space="preserve">P</w:t>
            </w:r>
          </w:p>
        </w:tc>
      </w:tr>
      <w:tr>
        <w:tc>
          <w:tcPr>
            <w:tcW w:type="dxa" w:w="2260"/>
            <w:shd w:fill="F2F2F2" w:val="clear"/>
            <w:tcMar>
              <w:top w:type="dxa" w:w="60"/>
              <w:left w:type="dxa" w:w="100"/>
              <w:bottom w:type="dxa" w:w="60"/>
              <w:right w:type="dxa" w:w="100"/>
            </w:tcMar>
          </w:tcPr>
          <w:p>
            <w:r>
              <w:rPr>
                <w:b w:val="false"/>
                <w:bCs w:val="false"/>
                <w:sz w:val="18"/>
                <w:szCs w:val="18"/>
              </w:rPr>
              <w:t xml:space="preserve">WiseTech/CargoWise ecosystem events</w:t>
            </w:r>
          </w:p>
        </w:tc>
        <w:tc>
          <w:tcPr>
            <w:tcW w:type="dxa" w:w="1900"/>
            <w:shd w:fill="F2F2F2" w:val="clear"/>
            <w:tcMar>
              <w:top w:type="dxa" w:w="60"/>
              <w:left w:type="dxa" w:w="100"/>
              <w:bottom w:type="dxa" w:w="60"/>
              <w:right w:type="dxa" w:w="100"/>
            </w:tcMar>
          </w:tcPr>
          <w:p>
            <w:r>
              <w:rPr>
                <w:b w:val="false"/>
                <w:bCs w:val="false"/>
                <w:sz w:val="18"/>
                <w:szCs w:val="18"/>
              </w:rPr>
              <w:t xml:space="preserve">Rolling (no 2026 EU user conference confirmed)</w:t>
            </w:r>
          </w:p>
        </w:tc>
        <w:tc>
          <w:tcPr>
            <w:tcW w:type="dxa" w:w="4000"/>
            <w:shd w:fill="F2F2F2" w:val="clear"/>
            <w:tcMar>
              <w:top w:type="dxa" w:w="60"/>
              <w:left w:type="dxa" w:w="100"/>
              <w:bottom w:type="dxa" w:w="60"/>
              <w:right w:type="dxa" w:w="100"/>
            </w:tcMar>
          </w:tcPr>
          <w:p>
            <w:r>
              <w:rPr>
                <w:b w:val="false"/>
                <w:bCs w:val="false"/>
                <w:sz w:val="18"/>
                <w:szCs w:val="18"/>
              </w:rPr>
              <w:t xml:space="preserve">Not a fair — pursue certified-partner status and co-marketing instead; this is channel #1 from the ICP report.</w:t>
            </w:r>
          </w:p>
        </w:tc>
        <w:tc>
          <w:tcPr>
            <w:tcW w:type="dxa" w:w="1200"/>
            <w:shd w:fill="F2F2F2" w:val="clear"/>
            <w:tcMar>
              <w:top w:type="dxa" w:w="60"/>
              <w:left w:type="dxa" w:w="100"/>
              <w:bottom w:type="dxa" w:w="60"/>
              <w:right w:type="dxa" w:w="100"/>
            </w:tcMar>
          </w:tcPr>
          <w:p>
            <w:r>
              <w:rPr>
                <w:b w:val="false"/>
                <w:bCs w:val="false"/>
                <w:sz w:val="18"/>
                <w:szCs w:val="18"/>
              </w:rPr>
              <w:t xml:space="preserve">C</w:t>
            </w:r>
          </w:p>
        </w:tc>
      </w:tr>
      <w:tr>
        <w:tc>
          <w:tcPr>
            <w:tcW w:type="dxa" w:w="2260"/>
            <w:tcMar>
              <w:top w:type="dxa" w:w="60"/>
              <w:left w:type="dxa" w:w="100"/>
              <w:bottom w:type="dxa" w:w="60"/>
              <w:right w:type="dxa" w:w="100"/>
            </w:tcMar>
          </w:tcPr>
          <w:p>
            <w:r>
              <w:rPr>
                <w:b w:val="false"/>
                <w:bCs w:val="false"/>
                <w:sz w:val="18"/>
                <w:szCs w:val="18"/>
              </w:rPr>
              <w:t xml:space="preserve">Manifest (Vegas + Europe launch)</w:t>
            </w:r>
          </w:p>
        </w:tc>
        <w:tc>
          <w:tcPr>
            <w:tcW w:type="dxa" w:w="1900"/>
            <w:tcMar>
              <w:top w:type="dxa" w:w="60"/>
              <w:left w:type="dxa" w:w="100"/>
              <w:bottom w:type="dxa" w:w="60"/>
              <w:right w:type="dxa" w:w="100"/>
            </w:tcMar>
          </w:tcPr>
          <w:p>
            <w:r>
              <w:rPr>
                <w:b w:val="false"/>
                <w:bCs w:val="false"/>
                <w:sz w:val="18"/>
                <w:szCs w:val="18"/>
              </w:rPr>
              <w:t xml:space="preserve">8–10 Feb 2027 Las Vegas; 19–21 Oct 2027 Lisbon</w:t>
            </w:r>
          </w:p>
        </w:tc>
        <w:tc>
          <w:tcPr>
            <w:tcW w:type="dxa" w:w="4000"/>
            <w:tcMar>
              <w:top w:type="dxa" w:w="60"/>
              <w:left w:type="dxa" w:w="100"/>
              <w:bottom w:type="dxa" w:w="60"/>
              <w:right w:type="dxa" w:w="100"/>
            </w:tcMar>
          </w:tcPr>
          <w:p>
            <w:r>
              <w:rPr>
                <w:b w:val="false"/>
                <w:bCs w:val="false"/>
                <w:sz w:val="18"/>
                <w:szCs w:val="18"/>
              </w:rPr>
              <w:t xml:space="preserve">Logistics-tech reputation and investor visibility (US capital hasn’t entered EU forwarding — be visible before it does). Lisbon launch = cheap early-mover slot.</w:t>
            </w:r>
          </w:p>
        </w:tc>
        <w:tc>
          <w:tcPr>
            <w:tcW w:type="dxa" w:w="1200"/>
            <w:tcMar>
              <w:top w:type="dxa" w:w="60"/>
              <w:left w:type="dxa" w:w="100"/>
              <w:bottom w:type="dxa" w:w="60"/>
              <w:right w:type="dxa" w:w="100"/>
            </w:tcMar>
          </w:tcPr>
          <w:p>
            <w:r>
              <w:rPr>
                <w:b w:val="false"/>
                <w:bCs w:val="false"/>
                <w:sz w:val="18"/>
                <w:szCs w:val="18"/>
              </w:rPr>
              <w:t xml:space="preserve">R C</w:t>
            </w:r>
          </w:p>
        </w:tc>
      </w:tr>
      <w:tr>
        <w:tc>
          <w:tcPr>
            <w:tcW w:type="dxa" w:w="2260"/>
            <w:shd w:fill="F2F2F2" w:val="clear"/>
            <w:tcMar>
              <w:top w:type="dxa" w:w="60"/>
              <w:left w:type="dxa" w:w="100"/>
              <w:bottom w:type="dxa" w:w="60"/>
              <w:right w:type="dxa" w:w="100"/>
            </w:tcMar>
          </w:tcPr>
          <w:p>
            <w:r>
              <w:rPr>
                <w:b w:val="false"/>
                <w:bCs w:val="false"/>
                <w:sz w:val="18"/>
                <w:szCs w:val="18"/>
              </w:rPr>
              <w:t xml:space="preserve">LogiMAT</w:t>
            </w:r>
          </w:p>
        </w:tc>
        <w:tc>
          <w:tcPr>
            <w:tcW w:type="dxa" w:w="1900"/>
            <w:shd w:fill="F2F2F2" w:val="clear"/>
            <w:tcMar>
              <w:top w:type="dxa" w:w="60"/>
              <w:left w:type="dxa" w:w="100"/>
              <w:bottom w:type="dxa" w:w="60"/>
              <w:right w:type="dxa" w:w="100"/>
            </w:tcMar>
          </w:tcPr>
          <w:p>
            <w:r>
              <w:rPr>
                <w:b w:val="false"/>
                <w:bCs w:val="false"/>
                <w:sz w:val="18"/>
                <w:szCs w:val="18"/>
              </w:rPr>
              <w:t xml:space="preserve">16–18 Mar 2027, Stuttgart</w:t>
            </w:r>
          </w:p>
        </w:tc>
        <w:tc>
          <w:tcPr>
            <w:tcW w:type="dxa" w:w="4000"/>
            <w:shd w:fill="F2F2F2" w:val="clear"/>
            <w:tcMar>
              <w:top w:type="dxa" w:w="60"/>
              <w:left w:type="dxa" w:w="100"/>
              <w:bottom w:type="dxa" w:w="60"/>
              <w:right w:type="dxa" w:w="100"/>
            </w:tcMar>
          </w:tcPr>
          <w:p>
            <w:r>
              <w:rPr>
                <w:b w:val="false"/>
                <w:bCs w:val="false"/>
                <w:sz w:val="18"/>
                <w:szCs w:val="18"/>
              </w:rPr>
              <w:t xml:space="preserve">Intralogistics-heavy, lower forwarder density — attend, don’t exhibit.</w:t>
            </w:r>
          </w:p>
        </w:tc>
        <w:tc>
          <w:tcPr>
            <w:tcW w:type="dxa" w:w="1200"/>
            <w:shd w:fill="F2F2F2" w:val="clear"/>
            <w:tcMar>
              <w:top w:type="dxa" w:w="60"/>
              <w:left w:type="dxa" w:w="100"/>
              <w:bottom w:type="dxa" w:w="60"/>
              <w:right w:type="dxa" w:w="100"/>
            </w:tcMar>
          </w:tcPr>
          <w:p>
            <w:r>
              <w:rPr>
                <w:b w:val="false"/>
                <w:bCs w:val="false"/>
                <w:sz w:val="18"/>
                <w:szCs w:val="18"/>
              </w:rPr>
              <w:t xml:space="preserve">R</w:t>
            </w:r>
          </w:p>
        </w:tc>
      </w:tr>
    </w:tbl>
    <w:p>
      <w:pPr>
        <w:spacing w:after="120"/>
      </w:pPr>
      <w:r>
        <w:rPr>
          <w:b/>
          <w:bCs/>
        </w:rPr>
        <w:t xml:space="preserve">Rule of thumb from the channel matrix: </w:t>
      </w:r>
      <w:r>
        <w:t xml:space="preserve">exhibit only where forwarders concentrate (fairs marked P); speak where reputation compounds (R); and treat ecosystem events as channel-building, not lead-gen. With ~213 beachhead targets, three good events with pre-booked meeting lists beat ten passive stands.</w:t>
      </w:r>
    </w:p>
    <w:p>
      <w:pPr>
        <w:pStyle w:val="Heading1"/>
        <w:spacing w:after="120" w:before="300"/>
      </w:pPr>
      <w:r>
        <w:rPr>
          <w:color w:val="1F3864"/>
        </w:rPr>
        <w:t xml:space="preserve">7. Caveats</w:t>
      </w:r>
    </w:p>
    <w:p>
      <w:pPr>
        <w:pStyle w:val="ListParagraph"/>
        <w:numPr>
          <w:ilvl w:val="0"/>
          <w:numId w:val="2"/>
        </w:numPr>
        <w:spacing w:after="80"/>
      </w:pPr>
      <w:r>
        <w:t xml:space="preserve">Pool sizes for road freight (400) and self-serve reachability (5,320) are our assumptions, not sourced counts — they are yellow-flagged in the workbook; validate before committing budget.</w:t>
      </w:r>
    </w:p>
    <w:p>
      <w:pPr>
        <w:pStyle w:val="ListParagraph"/>
        <w:numPr>
          <w:ilvl w:val="0"/>
          <w:numId w:val="2"/>
        </w:numPr>
        <w:spacing w:after="80"/>
      </w:pPr>
      <w:r>
        <w:t xml:space="preserve">Gross margin is blended across motions for simplicity; self-serve would carry higher margin, making S3/S5 slightly conservative.</w:t>
      </w:r>
    </w:p>
    <w:p>
      <w:pPr>
        <w:pStyle w:val="ListParagraph"/>
        <w:numPr>
          <w:ilvl w:val="0"/>
          <w:numId w:val="2"/>
        </w:numPr>
        <w:spacing w:after="80"/>
      </w:pPr>
      <w:r>
        <w:t xml:space="preserve">The Scenarios tab rounds customer counts; the stress grid uses unrounded potentials — differences of ~€20k between the two views are rounding, not error.</w:t>
      </w:r>
    </w:p>
    <w:p>
      <w:pPr>
        <w:pStyle w:val="ListParagraph"/>
        <w:numPr>
          <w:ilvl w:val="0"/>
          <w:numId w:val="2"/>
        </w:numPr>
        <w:spacing w:after="80"/>
      </w:pPr>
      <w:r>
        <w:t xml:space="preserve">Event dates were verified against public listings in July 2026; re-confirm before booking.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2026-07-30T21:25:17.065Z</dcterms:created>
  <dcterms:modified xsi:type="dcterms:W3CDTF">2026-07-30T21:25:17.067Z</dcterms:modified>
</cp:coreProperties>
</file>

<file path=docProps/custom.xml><?xml version="1.0" encoding="utf-8"?>
<Properties xmlns="http://schemas.openxmlformats.org/officeDocument/2006/custom-properties" xmlns:vt="http://schemas.openxmlformats.org/officeDocument/2006/docPropsVTypes"/>
</file>