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A5A5A"/>
          <w:spacing w:val="60"/>
          <w:sz w:val="20"/>
          <w:szCs w:val="20"/>
        </w:rPr>
        <w:t xml:space="preserve">RESEARCH DOSSIER</w:t>
      </w:r>
    </w:p>
    <w:p>
      <w:pPr>
        <w:spacing w:after="40"/>
      </w:pPr>
      <w:r>
        <w:rPr>
          <w:b/>
          <w:bCs/>
          <w:color w:val="1F3A5F"/>
          <w:sz w:val="72"/>
          <w:szCs w:val="72"/>
        </w:rPr>
        <w:t xml:space="preserve">5U AI</w:t>
      </w:r>
    </w:p>
    <w:p>
      <w:pPr>
        <w:spacing w:after="200"/>
      </w:pPr>
      <w:r>
        <w:rPr>
          <w:color w:val="444444"/>
          <w:sz w:val="28"/>
          <w:szCs w:val="28"/>
        </w:rPr>
        <w:t xml:space="preserve">AI Workers for European freight forwarding</w:t>
      </w:r>
    </w:p>
    <w:p>
      <w:pPr>
        <w:pBdr>
          <w:bottom w:val="single" w:color="C9C4BC" w:sz="6" w:space="6"/>
        </w:pBdr>
        <w:spacing w:after="200"/>
      </w:pPr>
    </w:p>
    <w:p>
      <w:pPr>
        <w:spacing w:after="140" w:line="276"/>
      </w:pPr>
      <w:r>
        <w:rPr>
          <w:color w:val="5A5A5A"/>
          <w:sz w:val="19"/>
          <w:szCs w:val="19"/>
        </w:rPr>
        <w:t xml:space="preserve">Compiled 30 July 2026</w:t>
      </w:r>
      <w:r>
        <w:rPr>
          <w:color w:val="5A5A5A"/>
          <w:sz w:val="19"/>
          <w:szCs w:val="19"/>
        </w:rPr>
        <w:t xml:space="preserve">  •  </w:t>
      </w:r>
      <w:r>
        <w:rPr>
          <w:color w:val="5A5A5A"/>
          <w:sz w:val="19"/>
          <w:szCs w:val="19"/>
        </w:rPr>
        <w:t xml:space="preserve">Sources: 5u.ai (all 13 pages incl. legal), Dover careers (7 job specs), and press coverage of the 28 July 2026 funding round.</w:t>
      </w:r>
    </w:p>
    <w:p>
      <w:pPr>
        <w:pStyle w:val="Heading1"/>
        <w:spacing w:after="160" w:before="360"/>
      </w:pPr>
      <w:r>
        <w:t xml:space="preserve">Executive summary</w:t>
      </w:r>
    </w:p>
    <w:p>
      <w:pPr>
        <w:spacing w:after="140" w:line="276"/>
      </w:pPr>
      <w:r>
        <w:t xml:space="preserve">5U AI is a Munich-founded, Netherlands-incorporated startup selling "AI Workers" — configurable agents that sit inside a freight forwarder's inbox, chat and TMS and execute operational workflows end to end. It was founded in 2025 by two Technical University of Munich graduates and announced a US$3.2m pre-seed on 28 July 2026, led by Emerge Capital with participation from Inari and a cohort of senior logistics operators from DHL, GEODIS, DSV, Maersk and CEVA.</w:t>
      </w:r>
    </w:p>
    <w:p>
      <w:pPr>
        <w:spacing w:after="140" w:line="276"/>
      </w:pPr>
      <w:r>
        <w:t xml:space="preserve">The product is deliberately not a chatbot and not a workflow-automation builder. Its stated differentiator is a "Context Layer" (also called the Decision Layer) that records the reasoning behind every operational decision, making the system correctable, auditable, and — in the founders' thesis — a compounding data moat.</w:t>
      </w:r>
    </w:p>
    <w:p>
      <w:pPr>
        <w:spacing w:after="140" w:line="276"/>
      </w:pPr>
      <w:r>
        <w:t xml:space="preserve">Delivery is forward-deployed rather than self-serve: a discovery workshop, custom integration work by an embedded engineer, a shadow-mode training period on the customer's historical cases, then roughly four weeks to go-live with 100% human approval, tapering to 85–95% unattended automation per use case.</w:t>
      </w:r>
    </w:p>
    <w:p>
      <w:pPr>
        <w:spacing w:after="140" w:line="276"/>
      </w:pPr>
      <w:r>
        <w:rPr>
          <w:b/>
          <w:bCs/>
        </w:rPr>
        <w:t xml:space="preserve">Pricing is not published anywhere. </w:t>
      </w:r>
      <w:r>
        <w:t xml:space="preserve">No pricing page exists. The Terms &amp; Conditions nevertheless disclose the full commercial structure — euro-denominated, Order-Form-based, a two-year initial term with no termination for convenience, and a €50,000 absolute liability ceiling that implies contract values in the low tens of thousands of euros. Section 12 turns that into a recommended rate card, an ROI model, and the specific contract clauses to change.</w:t>
      </w:r>
    </w:p>
    <w:p>
      <w:pPr>
        <w:pStyle w:val="Heading1"/>
        <w:spacing w:after="160" w:before="360"/>
      </w:pPr>
      <w:r>
        <w:t xml:space="preserve">1. Company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EDEAE4" w:color="auto" w:val="clear"/>
            <w:tcMar>
              <w:top w:type="dxa" w:w="80"/>
              <w:left w:type="dxa" w:w="120"/>
              <w:bottom w:type="dxa" w:w="80"/>
              <w:right w:type="dxa" w:w="120"/>
            </w:tcMar>
          </w:tcPr>
          <w:p>
            <w:pPr>
              <w:spacing w:after="60" w:before="60" w:line="260"/>
            </w:pPr>
            <w:r>
              <w:rPr>
                <w:b/>
                <w:bCs/>
                <w:sz w:val="19"/>
                <w:szCs w:val="19"/>
              </w:rPr>
              <w:t xml:space="preserve">Field</w:t>
            </w:r>
          </w:p>
        </w:tc>
        <w:tc>
          <w:tcPr>
            <w:tcW w:type="dxa" w:w="7480"/>
            <w:shd w:fill="EDEAE4" w:color="auto" w:val="clear"/>
            <w:tcMar>
              <w:top w:type="dxa" w:w="80"/>
              <w:left w:type="dxa" w:w="120"/>
              <w:bottom w:type="dxa" w:w="80"/>
              <w:right w:type="dxa" w:w="120"/>
            </w:tcMar>
          </w:tcPr>
          <w:p>
            <w:pPr>
              <w:spacing w:after="60" w:before="60" w:line="260"/>
            </w:pPr>
            <w:r>
              <w:rPr>
                <w:b/>
                <w:bCs/>
                <w:sz w:val="19"/>
                <w:szCs w:val="19"/>
              </w:rPr>
              <w:t xml:space="preserve">Detail</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Founded</w:t>
            </w:r>
          </w:p>
        </w:tc>
        <w:tc>
          <w:tcPr>
            <w:tcW w:type="dxa" w:w="7480"/>
            <w:tcMar>
              <w:top w:type="dxa" w:w="80"/>
              <w:left w:type="dxa" w:w="120"/>
              <w:bottom w:type="dxa" w:w="80"/>
              <w:right w:type="dxa" w:w="120"/>
            </w:tcMar>
          </w:tcPr>
          <w:p>
            <w:pPr>
              <w:spacing w:after="60" w:before="60" w:line="260"/>
            </w:pPr>
            <w:r>
              <w:rPr>
                <w:sz w:val="19"/>
                <w:szCs w:val="19"/>
              </w:rPr>
              <w:t xml:space="preserve">2025</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Founders</w:t>
            </w:r>
          </w:p>
        </w:tc>
        <w:tc>
          <w:tcPr>
            <w:tcW w:type="dxa" w:w="7480"/>
            <w:tcMar>
              <w:top w:type="dxa" w:w="80"/>
              <w:left w:type="dxa" w:w="120"/>
              <w:bottom w:type="dxa" w:w="80"/>
              <w:right w:type="dxa" w:w="120"/>
            </w:tcMar>
          </w:tcPr>
          <w:p>
            <w:pPr>
              <w:spacing w:after="60" w:before="60" w:line="260"/>
            </w:pPr>
            <w:r>
              <w:rPr>
                <w:sz w:val="19"/>
                <w:szCs w:val="19"/>
              </w:rPr>
              <w:t xml:space="preserve">Yagiz Abik (Founder &amp; CEO); Fehmi Şener (Founder &amp; CTO)</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Headquarters</w:t>
            </w:r>
          </w:p>
        </w:tc>
        <w:tc>
          <w:tcPr>
            <w:tcW w:type="dxa" w:w="7480"/>
            <w:tcMar>
              <w:top w:type="dxa" w:w="80"/>
              <w:left w:type="dxa" w:w="120"/>
              <w:bottom w:type="dxa" w:w="80"/>
              <w:right w:type="dxa" w:w="120"/>
            </w:tcMar>
          </w:tcPr>
          <w:p>
            <w:pPr>
              <w:spacing w:after="60" w:before="60" w:line="260"/>
            </w:pPr>
            <w:r>
              <w:rPr>
                <w:sz w:val="19"/>
                <w:szCs w:val="19"/>
              </w:rPr>
              <w:t xml:space="preserve">Munich, Germany</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Legal entity</w:t>
            </w:r>
          </w:p>
        </w:tc>
        <w:tc>
          <w:tcPr>
            <w:tcW w:type="dxa" w:w="7480"/>
            <w:tcMar>
              <w:top w:type="dxa" w:w="80"/>
              <w:left w:type="dxa" w:w="120"/>
              <w:bottom w:type="dxa" w:w="80"/>
              <w:right w:type="dxa" w:w="120"/>
            </w:tcMar>
          </w:tcPr>
          <w:p>
            <w:pPr>
              <w:spacing w:after="60" w:before="60" w:line="260"/>
            </w:pPr>
            <w:r>
              <w:rPr>
                <w:sz w:val="19"/>
                <w:szCs w:val="19"/>
              </w:rPr>
              <w:t xml:space="preserve">5U AI B.V., Anthonetta Kuijlstraat 49-B, 3066 GS Rotterdam, Netherlands</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EEA representative</w:t>
            </w:r>
          </w:p>
        </w:tc>
        <w:tc>
          <w:tcPr>
            <w:tcW w:type="dxa" w:w="7480"/>
            <w:tcMar>
              <w:top w:type="dxa" w:w="80"/>
              <w:left w:type="dxa" w:w="120"/>
              <w:bottom w:type="dxa" w:w="80"/>
              <w:right w:type="dxa" w:w="120"/>
            </w:tcMar>
          </w:tcPr>
          <w:p>
            <w:pPr>
              <w:spacing w:after="60" w:before="60" w:line="260"/>
            </w:pPr>
            <w:r>
              <w:rPr>
                <w:sz w:val="19"/>
                <w:szCs w:val="19"/>
              </w:rPr>
              <w:t xml:space="preserve">Ali Yagizhan Abik</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Governing law</w:t>
            </w:r>
          </w:p>
        </w:tc>
        <w:tc>
          <w:tcPr>
            <w:tcW w:type="dxa" w:w="7480"/>
            <w:tcMar>
              <w:top w:type="dxa" w:w="80"/>
              <w:left w:type="dxa" w:w="120"/>
              <w:bottom w:type="dxa" w:w="80"/>
              <w:right w:type="dxa" w:w="120"/>
            </w:tcMar>
          </w:tcPr>
          <w:p>
            <w:pPr>
              <w:spacing w:after="60" w:before="60" w:line="260"/>
            </w:pPr>
            <w:r>
              <w:rPr>
                <w:sz w:val="19"/>
                <w:szCs w:val="19"/>
              </w:rPr>
              <w:t xml:space="preserve">Netherlands; courts of Rotterdam</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Team size</w:t>
            </w:r>
          </w:p>
        </w:tc>
        <w:tc>
          <w:tcPr>
            <w:tcW w:type="dxa" w:w="7480"/>
            <w:tcMar>
              <w:top w:type="dxa" w:w="80"/>
              <w:left w:type="dxa" w:w="120"/>
              <w:bottom w:type="dxa" w:w="80"/>
              <w:right w:type="dxa" w:w="120"/>
            </w:tcMar>
          </w:tcPr>
          <w:p>
            <w:pPr>
              <w:spacing w:after="60" w:before="60" w:line="260"/>
            </w:pPr>
            <w:r>
              <w:rPr>
                <w:sz w:val="19"/>
                <w:szCs w:val="19"/>
              </w:rPr>
              <w:t xml:space="preserve">7, with 7 open roles (all Munich, onsite/hybrid)</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Contact</w:t>
            </w:r>
          </w:p>
        </w:tc>
        <w:tc>
          <w:tcPr>
            <w:tcW w:type="dxa" w:w="7480"/>
            <w:tcMar>
              <w:top w:type="dxa" w:w="80"/>
              <w:left w:type="dxa" w:w="120"/>
              <w:bottom w:type="dxa" w:w="80"/>
              <w:right w:type="dxa" w:w="120"/>
            </w:tcMar>
          </w:tcPr>
          <w:p>
            <w:pPr>
              <w:spacing w:after="60" w:before="60" w:line="260"/>
            </w:pPr>
            <w:r>
              <w:rPr>
                <w:sz w:val="19"/>
                <w:szCs w:val="19"/>
              </w:rPr>
              <w:t xml:space="preserve">legal@5u.ai; yagiz@5u.ai; demo form at /book-a-demo</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Tagline</w:t>
            </w:r>
          </w:p>
        </w:tc>
        <w:tc>
          <w:tcPr>
            <w:tcW w:type="dxa" w:w="7480"/>
            <w:tcMar>
              <w:top w:type="dxa" w:w="80"/>
              <w:left w:type="dxa" w:w="120"/>
              <w:bottom w:type="dxa" w:w="80"/>
              <w:right w:type="dxa" w:w="120"/>
            </w:tcMar>
          </w:tcPr>
          <w:p>
            <w:pPr>
              <w:spacing w:after="60" w:before="60" w:line="260"/>
            </w:pPr>
            <w:r>
              <w:rPr>
                <w:sz w:val="19"/>
                <w:szCs w:val="19"/>
              </w:rPr>
              <w:t xml:space="preserve">"AI Workers. Built for Freight Teams." / "From inbox to invoice"</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Mission</w:t>
            </w:r>
          </w:p>
        </w:tc>
        <w:tc>
          <w:tcPr>
            <w:tcW w:type="dxa" w:w="7480"/>
            <w:tcMar>
              <w:top w:type="dxa" w:w="80"/>
              <w:left w:type="dxa" w:w="120"/>
              <w:bottom w:type="dxa" w:w="80"/>
              <w:right w:type="dxa" w:w="120"/>
            </w:tcMar>
          </w:tcPr>
          <w:p>
            <w:pPr>
              <w:spacing w:after="60" w:before="60" w:line="260"/>
            </w:pPr>
            <w:r>
              <w:rPr>
                <w:sz w:val="19"/>
                <w:szCs w:val="19"/>
              </w:rPr>
              <w:t xml:space="preserve">"Disrupt the Status Quo in Logistics"</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Values</w:t>
            </w:r>
          </w:p>
        </w:tc>
        <w:tc>
          <w:tcPr>
            <w:tcW w:type="dxa" w:w="7480"/>
            <w:tcMar>
              <w:top w:type="dxa" w:w="80"/>
              <w:left w:type="dxa" w:w="120"/>
              <w:bottom w:type="dxa" w:w="80"/>
              <w:right w:type="dxa" w:w="120"/>
            </w:tcMar>
          </w:tcPr>
          <w:p>
            <w:pPr>
              <w:spacing w:after="60" w:before="60" w:line="260"/>
            </w:pPr>
            <w:r>
              <w:rPr>
                <w:sz w:val="19"/>
                <w:szCs w:val="19"/>
              </w:rPr>
              <w:t xml:space="preserve">Reliability, Efficiency, Day 1 Mentality</w:t>
            </w:r>
          </w:p>
        </w:tc>
      </w:tr>
    </w:tbl>
    <w:p>
      <w:pPr>
        <w:spacing w:after="160"/>
      </w:pPr>
    </w:p>
    <w:p>
      <w:pPr>
        <w:spacing w:after="140" w:line="276"/>
      </w:pPr>
      <w:r>
        <w:t xml:space="preserve">Origin story: the founders met playing amateur football in Munich and still play weekly. Abik came from physical trade, importing electronics from China at 18. Şener was an engineer at BMW and wrote his thesis with CEVA Logistics on machine learning applied to road freight. They ran dozens of discovery calls after identifying that European forwarders spend up to 70% of their time copying data between email and legacy transport management systems, and launched with pilot customers already secured.</w:t>
      </w:r>
    </w:p>
    <w:p>
      <w:pPr>
        <w:spacing w:after="140" w:line="276"/>
      </w:pPr>
      <w:r>
        <w:t xml:space="preserve">The name "5U" encodes the multi-agent thesis — in Abik's words, no single AI can run logistics end to end. The logo depicts multiple specialised agents working together, mirroring how freight teams actually operate. Internal culture line: "We are not a family, we are a sports team, and we are here to win."</w:t>
      </w:r>
    </w:p>
    <w:p>
      <w:pPr>
        <w:pStyle w:val="Heading1"/>
        <w:spacing w:after="160" w:before="360"/>
      </w:pPr>
      <w:r>
        <w:t xml:space="preserve">2.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EDEAE4" w:color="auto" w:val="clear"/>
            <w:tcMar>
              <w:top w:type="dxa" w:w="80"/>
              <w:left w:type="dxa" w:w="120"/>
              <w:bottom w:type="dxa" w:w="80"/>
              <w:right w:type="dxa" w:w="120"/>
            </w:tcMar>
          </w:tcPr>
          <w:p>
            <w:pPr>
              <w:spacing w:after="60" w:before="60" w:line="260"/>
            </w:pPr>
            <w:r>
              <w:rPr>
                <w:b/>
                <w:bCs/>
                <w:sz w:val="19"/>
                <w:szCs w:val="19"/>
              </w:rPr>
              <w:t xml:space="preserve">Field</w:t>
            </w:r>
          </w:p>
        </w:tc>
        <w:tc>
          <w:tcPr>
            <w:tcW w:type="dxa" w:w="7480"/>
            <w:shd w:fill="EDEAE4" w:color="auto" w:val="clear"/>
            <w:tcMar>
              <w:top w:type="dxa" w:w="80"/>
              <w:left w:type="dxa" w:w="120"/>
              <w:bottom w:type="dxa" w:w="80"/>
              <w:right w:type="dxa" w:w="120"/>
            </w:tcMar>
          </w:tcPr>
          <w:p>
            <w:pPr>
              <w:spacing w:after="60" w:before="60" w:line="260"/>
            </w:pPr>
            <w:r>
              <w:rPr>
                <w:b/>
                <w:bCs/>
                <w:sz w:val="19"/>
                <w:szCs w:val="19"/>
              </w:rPr>
              <w:t xml:space="preserve">Detail</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Round</w:t>
            </w:r>
          </w:p>
        </w:tc>
        <w:tc>
          <w:tcPr>
            <w:tcW w:type="dxa" w:w="7480"/>
            <w:tcMar>
              <w:top w:type="dxa" w:w="80"/>
              <w:left w:type="dxa" w:w="120"/>
              <w:bottom w:type="dxa" w:w="80"/>
              <w:right w:type="dxa" w:w="120"/>
            </w:tcMar>
          </w:tcPr>
          <w:p>
            <w:pPr>
              <w:spacing w:after="60" w:before="60" w:line="260"/>
            </w:pPr>
            <w:r>
              <w:rPr>
                <w:sz w:val="19"/>
                <w:szCs w:val="19"/>
              </w:rPr>
              <w:t xml:space="preserve">Pre-seed, US$3.2m</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Announced</w:t>
            </w:r>
          </w:p>
        </w:tc>
        <w:tc>
          <w:tcPr>
            <w:tcW w:type="dxa" w:w="7480"/>
            <w:tcMar>
              <w:top w:type="dxa" w:w="80"/>
              <w:left w:type="dxa" w:w="120"/>
              <w:bottom w:type="dxa" w:w="80"/>
              <w:right w:type="dxa" w:w="120"/>
            </w:tcMar>
          </w:tcPr>
          <w:p>
            <w:pPr>
              <w:spacing w:after="60" w:before="60" w:line="260"/>
            </w:pPr>
            <w:r>
              <w:rPr>
                <w:sz w:val="19"/>
                <w:szCs w:val="19"/>
              </w:rPr>
              <w:t xml:space="preserve">28 July 2026</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Lead</w:t>
            </w:r>
          </w:p>
        </w:tc>
        <w:tc>
          <w:tcPr>
            <w:tcW w:type="dxa" w:w="7480"/>
            <w:tcMar>
              <w:top w:type="dxa" w:w="80"/>
              <w:left w:type="dxa" w:w="120"/>
              <w:bottom w:type="dxa" w:w="80"/>
              <w:right w:type="dxa" w:w="120"/>
            </w:tcMar>
          </w:tcPr>
          <w:p>
            <w:pPr>
              <w:spacing w:after="60" w:before="60" w:line="260"/>
            </w:pPr>
            <w:r>
              <w:rPr>
                <w:sz w:val="19"/>
                <w:szCs w:val="19"/>
              </w:rPr>
              <w:t xml:space="preserve">Emerge Capital (London) — a US$75m pre-seed fund focused on future-of-work</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Co-investors</w:t>
            </w:r>
          </w:p>
        </w:tc>
        <w:tc>
          <w:tcPr>
            <w:tcW w:type="dxa" w:w="7480"/>
            <w:tcMar>
              <w:top w:type="dxa" w:w="80"/>
              <w:left w:type="dxa" w:w="120"/>
              <w:bottom w:type="dxa" w:w="80"/>
              <w:right w:type="dxa" w:w="120"/>
            </w:tcMar>
          </w:tcPr>
          <w:p>
            <w:pPr>
              <w:spacing w:after="60" w:before="60" w:line="260"/>
            </w:pPr>
            <w:r>
              <w:rPr>
                <w:sz w:val="19"/>
                <w:szCs w:val="19"/>
              </w:rPr>
              <w:t xml:space="preserve">Inari, plus angels</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Operator angels</w:t>
            </w:r>
          </w:p>
        </w:tc>
        <w:tc>
          <w:tcPr>
            <w:tcW w:type="dxa" w:w="7480"/>
            <w:tcMar>
              <w:top w:type="dxa" w:w="80"/>
              <w:left w:type="dxa" w:w="120"/>
              <w:bottom w:type="dxa" w:w="80"/>
              <w:right w:type="dxa" w:w="120"/>
            </w:tcMar>
          </w:tcPr>
          <w:p>
            <w:pPr>
              <w:spacing w:after="60" w:before="60" w:line="260"/>
            </w:pPr>
            <w:r>
              <w:rPr>
                <w:sz w:val="19"/>
                <w:szCs w:val="19"/>
              </w:rPr>
              <w:t xml:space="preserve">Senior executives from DHL, GEODIS, DSV, Maersk and CEVA Logistics</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Use of funds</w:t>
            </w:r>
          </w:p>
        </w:tc>
        <w:tc>
          <w:tcPr>
            <w:tcW w:type="dxa" w:w="7480"/>
            <w:tcMar>
              <w:top w:type="dxa" w:w="80"/>
              <w:left w:type="dxa" w:w="120"/>
              <w:bottom w:type="dxa" w:w="80"/>
              <w:right w:type="dxa" w:w="120"/>
            </w:tcMar>
          </w:tcPr>
          <w:p>
            <w:pPr>
              <w:spacing w:after="60" w:before="60" w:line="260"/>
            </w:pPr>
            <w:r>
              <w:rPr>
                <w:sz w:val="19"/>
                <w:szCs w:val="19"/>
              </w:rPr>
              <w:t xml:space="preserve">Product development, European go-to-market, Decision Layer build-out, hiring across product, engineering, operations, commercial and customer functions</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Notable</w:t>
            </w:r>
          </w:p>
        </w:tc>
        <w:tc>
          <w:tcPr>
            <w:tcW w:type="dxa" w:w="7480"/>
            <w:tcMar>
              <w:top w:type="dxa" w:w="80"/>
              <w:left w:type="dxa" w:w="120"/>
              <w:bottom w:type="dxa" w:w="80"/>
              <w:right w:type="dxa" w:w="120"/>
            </w:tcMar>
          </w:tcPr>
          <w:p>
            <w:pPr>
              <w:spacing w:after="60" w:before="60" w:line="260"/>
            </w:pPr>
            <w:r>
              <w:rPr>
                <w:sz w:val="19"/>
                <w:szCs w:val="19"/>
              </w:rPr>
              <w:t xml:space="preserve">Zero marketing spend to date — all growth inbound</w:t>
            </w:r>
          </w:p>
        </w:tc>
      </w:tr>
    </w:tbl>
    <w:p>
      <w:pPr>
        <w:spacing w:after="160"/>
      </w:pPr>
    </w:p>
    <w:p>
      <w:pPr>
        <w:spacing w:after="140" w:line="276"/>
      </w:pPr>
      <w:r>
        <w:rPr>
          <w:b/>
          <w:bCs/>
        </w:rPr>
        <w:t xml:space="preserve">CEO quote: </w:t>
      </w:r>
      <w:r>
        <w:rPr>
          <w:i/>
          <w:iCs/>
        </w:rPr>
        <w:t xml:space="preserve">"Freight forwarding is full of decisions still trapped in inboxes, spreadsheets, and people's heads. We build AI Workers that understand freight operations, carry out work, and capture reasoning behind every decision, so teams can scale knowledge and capacity."</w:t>
      </w:r>
    </w:p>
    <w:p>
      <w:pPr>
        <w:pStyle w:val="Heading1"/>
        <w:spacing w:after="160" w:before="360"/>
      </w:pPr>
      <w:r>
        <w:t xml:space="preserve">3. Product architecture</w:t>
      </w:r>
    </w:p>
    <w:p>
      <w:pPr>
        <w:pStyle w:val="Heading2"/>
        <w:spacing w:after="120" w:before="260"/>
      </w:pPr>
      <w:r>
        <w:t xml:space="preserve">3.1 The AI Worker</w:t>
      </w:r>
    </w:p>
    <w:p>
      <w:pPr>
        <w:spacing w:after="140" w:line="276"/>
      </w:pPr>
      <w:r>
        <w:t xml:space="preserve">The unit of the product is a named, configurable agent. The product page shows a worker configuration screen with the following fields:</w:t>
      </w:r>
    </w:p>
    <w:p>
      <w:pPr>
        <w:pStyle w:val="ListParagraph"/>
        <w:numPr>
          <w:ilvl w:val="0"/>
          <w:numId w:val="2"/>
        </w:numPr>
        <w:spacing w:after="90" w:line="276"/>
      </w:pPr>
      <w:r>
        <w:t xml:space="preserve">Name — e.g. "Freight Quote Agent"</w:t>
      </w:r>
    </w:p>
    <w:p>
      <w:pPr>
        <w:pStyle w:val="ListParagraph"/>
        <w:numPr>
          <w:ilvl w:val="0"/>
          <w:numId w:val="2"/>
        </w:numPr>
        <w:spacing w:after="90" w:line="276"/>
      </w:pPr>
      <w:r>
        <w:t xml:space="preserve">SOP — the Standard Operating Procedure the worker follows</w:t>
      </w:r>
    </w:p>
    <w:p>
      <w:pPr>
        <w:pStyle w:val="ListParagraph"/>
        <w:numPr>
          <w:ilvl w:val="0"/>
          <w:numId w:val="2"/>
        </w:numPr>
        <w:spacing w:after="90" w:line="276"/>
      </w:pPr>
      <w:r>
        <w:t xml:space="preserve">Select Connections — e.g. updates@5u.ai</w:t>
      </w:r>
    </w:p>
    <w:p>
      <w:pPr>
        <w:pStyle w:val="ListParagraph"/>
        <w:numPr>
          <w:ilvl w:val="0"/>
          <w:numId w:val="2"/>
        </w:numPr>
        <w:spacing w:after="90" w:line="276"/>
      </w:pPr>
      <w:r>
        <w:t xml:space="preserve">Edit Capabilities — e.g. "Can update offer status"</w:t>
      </w:r>
    </w:p>
    <w:p>
      <w:pPr>
        <w:pStyle w:val="ListParagraph"/>
        <w:numPr>
          <w:ilvl w:val="0"/>
          <w:numId w:val="2"/>
        </w:numPr>
        <w:spacing w:after="90" w:line="276"/>
      </w:pPr>
      <w:r>
        <w:t xml:space="preserve">Preferences — verbatim example: "Make sure you always close emails with a light joke"</w:t>
      </w:r>
    </w:p>
    <w:p>
      <w:pPr>
        <w:pStyle w:val="ListParagraph"/>
        <w:numPr>
          <w:ilvl w:val="0"/>
          <w:numId w:val="2"/>
        </w:numPr>
        <w:spacing w:after="90" w:line="276"/>
      </w:pPr>
      <w:r>
        <w:t xml:space="preserve">Active toggle</w:t>
      </w:r>
    </w:p>
    <w:p>
      <w:pPr>
        <w:pStyle w:val="Heading2"/>
        <w:spacing w:after="120" w:before="260"/>
      </w:pPr>
      <w:r>
        <w:t xml:space="preserve">3.2 Named agents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5480"/>
        <w:gridCol w:w="2700"/>
      </w:tblGrid>
      <w:tr>
        <w:trPr>
          <w:cantSplit/>
          <w:tblHeader/>
        </w:trPr>
        <w:tc>
          <w:tcPr>
            <w:tcW w:type="dxa" w:w="1900"/>
            <w:shd w:fill="EDEAE4" w:color="auto" w:val="clear"/>
            <w:tcMar>
              <w:top w:type="dxa" w:w="80"/>
              <w:left w:type="dxa" w:w="120"/>
              <w:bottom w:type="dxa" w:w="80"/>
              <w:right w:type="dxa" w:w="120"/>
            </w:tcMar>
          </w:tcPr>
          <w:p>
            <w:pPr>
              <w:spacing w:after="60" w:before="60" w:line="260"/>
            </w:pPr>
            <w:r>
              <w:rPr>
                <w:b/>
                <w:bCs/>
                <w:sz w:val="19"/>
                <w:szCs w:val="19"/>
              </w:rPr>
              <w:t xml:space="preserve">Agent</w:t>
            </w:r>
          </w:p>
        </w:tc>
        <w:tc>
          <w:tcPr>
            <w:tcW w:type="dxa" w:w="5480"/>
            <w:shd w:fill="EDEAE4" w:color="auto" w:val="clear"/>
            <w:tcMar>
              <w:top w:type="dxa" w:w="80"/>
              <w:left w:type="dxa" w:w="120"/>
              <w:bottom w:type="dxa" w:w="80"/>
              <w:right w:type="dxa" w:w="120"/>
            </w:tcMar>
          </w:tcPr>
          <w:p>
            <w:pPr>
              <w:spacing w:after="60" w:before="60" w:line="260"/>
            </w:pPr>
            <w:r>
              <w:rPr>
                <w:b/>
                <w:bCs/>
                <w:sz w:val="19"/>
                <w:szCs w:val="19"/>
              </w:rPr>
              <w:t xml:space="preserve">Function</w:t>
            </w:r>
          </w:p>
        </w:tc>
        <w:tc>
          <w:tcPr>
            <w:tcW w:type="dxa" w:w="2700"/>
            <w:shd w:fill="EDEAE4" w:color="auto" w:val="clear"/>
            <w:tcMar>
              <w:top w:type="dxa" w:w="80"/>
              <w:left w:type="dxa" w:w="120"/>
              <w:bottom w:type="dxa" w:w="80"/>
              <w:right w:type="dxa" w:w="120"/>
            </w:tcMar>
          </w:tcPr>
          <w:p>
            <w:pPr>
              <w:spacing w:after="60" w:before="60" w:line="260"/>
            </w:pPr>
            <w:r>
              <w:rPr>
                <w:b/>
                <w:bCs/>
                <w:sz w:val="19"/>
                <w:szCs w:val="19"/>
              </w:rPr>
              <w:t xml:space="preserve">Tags</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COPILOT</w:t>
            </w:r>
          </w:p>
        </w:tc>
        <w:tc>
          <w:tcPr>
            <w:tcW w:type="dxa" w:w="5480"/>
            <w:tcMar>
              <w:top w:type="dxa" w:w="80"/>
              <w:left w:type="dxa" w:w="120"/>
              <w:bottom w:type="dxa" w:w="80"/>
              <w:right w:type="dxa" w:w="120"/>
            </w:tcMar>
          </w:tcPr>
          <w:p>
            <w:pPr>
              <w:spacing w:after="60" w:before="60" w:line="260"/>
            </w:pPr>
            <w:r>
              <w:rPr>
                <w:sz w:val="19"/>
                <w:szCs w:val="19"/>
              </w:rPr>
              <w:t xml:space="preserve">Manages team operations and task flow</w:t>
            </w:r>
          </w:p>
        </w:tc>
        <w:tc>
          <w:tcPr>
            <w:tcW w:type="dxa" w:w="2700"/>
            <w:tcMar>
              <w:top w:type="dxa" w:w="80"/>
              <w:left w:type="dxa" w:w="120"/>
              <w:bottom w:type="dxa" w:w="80"/>
              <w:right w:type="dxa" w:w="120"/>
            </w:tcMar>
          </w:tcPr>
          <w:p>
            <w:pPr>
              <w:spacing w:after="60" w:before="60" w:line="260"/>
            </w:pPr>
            <w:r>
              <w:rPr>
                <w:sz w:val="19"/>
                <w:szCs w:val="19"/>
              </w:rPr>
              <w:t xml:space="preserve">OPS / COORDINATION / EFFICIENCY</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DOCUMIND</w:t>
            </w:r>
          </w:p>
        </w:tc>
        <w:tc>
          <w:tcPr>
            <w:tcW w:type="dxa" w:w="5480"/>
            <w:tcMar>
              <w:top w:type="dxa" w:w="80"/>
              <w:left w:type="dxa" w:w="120"/>
              <w:bottom w:type="dxa" w:w="80"/>
              <w:right w:type="dxa" w:w="120"/>
            </w:tcMar>
          </w:tcPr>
          <w:p>
            <w:pPr>
              <w:spacing w:after="60" w:before="60" w:line="260"/>
            </w:pPr>
            <w:r>
              <w:rPr>
                <w:sz w:val="19"/>
                <w:szCs w:val="19"/>
              </w:rPr>
              <w:t xml:space="preserve">Organizes, retrieves, and learns company documentation</w:t>
            </w:r>
          </w:p>
        </w:tc>
        <w:tc>
          <w:tcPr>
            <w:tcW w:type="dxa" w:w="2700"/>
            <w:tcMar>
              <w:top w:type="dxa" w:w="80"/>
              <w:left w:type="dxa" w:w="120"/>
              <w:bottom w:type="dxa" w:w="80"/>
              <w:right w:type="dxa" w:w="120"/>
            </w:tcMar>
          </w:tcPr>
          <w:p>
            <w:pPr>
              <w:spacing w:after="60" w:before="60" w:line="260"/>
            </w:pPr>
            <w:r>
              <w:rPr>
                <w:sz w:val="19"/>
                <w:szCs w:val="19"/>
              </w:rPr>
              <w:t xml:space="preserve">KNOWLEDGE / SEARCH / DOCS</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RATE MANAGER</w:t>
            </w:r>
          </w:p>
        </w:tc>
        <w:tc>
          <w:tcPr>
            <w:tcW w:type="dxa" w:w="5480"/>
            <w:tcMar>
              <w:top w:type="dxa" w:w="80"/>
              <w:left w:type="dxa" w:w="120"/>
              <w:bottom w:type="dxa" w:w="80"/>
              <w:right w:type="dxa" w:w="120"/>
            </w:tcMar>
          </w:tcPr>
          <w:p>
            <w:pPr>
              <w:spacing w:after="60" w:before="60" w:line="260"/>
            </w:pPr>
            <w:r>
              <w:rPr>
                <w:sz w:val="19"/>
                <w:szCs w:val="19"/>
              </w:rPr>
              <w:t xml:space="preserve">Reads RFQ emails, extracts shipment details, pulls rates from sheets or portals, replies instantly, updates the CRM</w:t>
            </w:r>
          </w:p>
        </w:tc>
        <w:tc>
          <w:tcPr>
            <w:tcW w:type="dxa" w:w="2700"/>
            <w:tcMar>
              <w:top w:type="dxa" w:w="80"/>
              <w:left w:type="dxa" w:w="120"/>
              <w:bottom w:type="dxa" w:w="80"/>
              <w:right w:type="dxa" w:w="120"/>
            </w:tcMar>
          </w:tcPr>
          <w:p>
            <w:pPr>
              <w:spacing w:after="60" w:before="60" w:line="260"/>
            </w:pPr>
            <w:r>
              <w:rPr>
                <w:sz w:val="19"/>
                <w:szCs w:val="19"/>
              </w:rPr>
              <w:t xml:space="preserve">RFQs / PRICING / SALES</w:t>
            </w:r>
          </w:p>
        </w:tc>
      </w:tr>
    </w:tbl>
    <w:p>
      <w:pPr>
        <w:spacing w:after="160"/>
      </w:pPr>
    </w:p>
    <w:p>
      <w:pPr>
        <w:pStyle w:val="Heading2"/>
        <w:spacing w:after="120" w:before="260"/>
      </w:pPr>
      <w:r>
        <w:t xml:space="preserve">3.3 Execution pipeline</w:t>
      </w:r>
    </w:p>
    <w:p>
      <w:pPr>
        <w:spacing w:after="140" w:line="276"/>
      </w:pPr>
      <w:r>
        <w:t xml:space="preserve">Workers are assembled in a visual builder (shown as "Freight Quote Workflow", with SAVE and ACTIVATE controls) from four node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cantSplit/>
          <w:tblHeader/>
        </w:trPr>
        <w:tc>
          <w:tcPr>
            <w:tcW w:type="dxa" w:w="2300"/>
            <w:shd w:fill="EDEAE4" w:color="auto" w:val="clear"/>
            <w:tcMar>
              <w:top w:type="dxa" w:w="80"/>
              <w:left w:type="dxa" w:w="120"/>
              <w:bottom w:type="dxa" w:w="80"/>
              <w:right w:type="dxa" w:w="120"/>
            </w:tcMar>
          </w:tcPr>
          <w:p>
            <w:pPr>
              <w:spacing w:after="60" w:before="60" w:line="260"/>
            </w:pPr>
            <w:r>
              <w:rPr>
                <w:b/>
                <w:bCs/>
                <w:sz w:val="19"/>
                <w:szCs w:val="19"/>
              </w:rPr>
              <w:t xml:space="preserve">Node</w:t>
            </w:r>
          </w:p>
        </w:tc>
        <w:tc>
          <w:tcPr>
            <w:tcW w:type="dxa" w:w="1900"/>
            <w:shd w:fill="EDEAE4" w:color="auto" w:val="clear"/>
            <w:tcMar>
              <w:top w:type="dxa" w:w="80"/>
              <w:left w:type="dxa" w:w="120"/>
              <w:bottom w:type="dxa" w:w="80"/>
              <w:right w:type="dxa" w:w="120"/>
            </w:tcMar>
          </w:tcPr>
          <w:p>
            <w:pPr>
              <w:spacing w:after="60" w:before="60" w:line="260"/>
            </w:pPr>
            <w:r>
              <w:rPr>
                <w:b/>
                <w:bCs/>
                <w:sz w:val="19"/>
                <w:szCs w:val="19"/>
              </w:rPr>
              <w:t xml:space="preserve">Stage</w:t>
            </w:r>
          </w:p>
        </w:tc>
        <w:tc>
          <w:tcPr>
            <w:tcW w:type="dxa" w:w="5880"/>
            <w:shd w:fill="EDEAE4" w:color="auto" w:val="clear"/>
            <w:tcMar>
              <w:top w:type="dxa" w:w="80"/>
              <w:left w:type="dxa" w:w="120"/>
              <w:bottom w:type="dxa" w:w="80"/>
              <w:right w:type="dxa" w:w="120"/>
            </w:tcMar>
          </w:tcPr>
          <w:p>
            <w:pPr>
              <w:spacing w:after="60" w:before="60" w:line="260"/>
            </w:pPr>
            <w:r>
              <w:rPr>
                <w:b/>
                <w:bCs/>
                <w:sz w:val="19"/>
                <w:szCs w:val="19"/>
              </w:rPr>
              <w:t xml:space="preserve">Function</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Email Listener</w:t>
            </w:r>
          </w:p>
        </w:tc>
        <w:tc>
          <w:tcPr>
            <w:tcW w:type="dxa" w:w="1900"/>
            <w:tcMar>
              <w:top w:type="dxa" w:w="80"/>
              <w:left w:type="dxa" w:w="120"/>
              <w:bottom w:type="dxa" w:w="80"/>
              <w:right w:type="dxa" w:w="120"/>
            </w:tcMar>
          </w:tcPr>
          <w:p>
            <w:pPr>
              <w:spacing w:after="60" w:before="60" w:line="260"/>
            </w:pPr>
            <w:r>
              <w:rPr>
                <w:sz w:val="19"/>
                <w:szCs w:val="19"/>
              </w:rPr>
              <w:t xml:space="preserve">TRIGGER</w:t>
            </w:r>
          </w:p>
        </w:tc>
        <w:tc>
          <w:tcPr>
            <w:tcW w:type="dxa" w:w="5880"/>
            <w:tcMar>
              <w:top w:type="dxa" w:w="80"/>
              <w:left w:type="dxa" w:w="120"/>
              <w:bottom w:type="dxa" w:w="80"/>
              <w:right w:type="dxa" w:w="120"/>
            </w:tcMar>
          </w:tcPr>
          <w:p>
            <w:pPr>
              <w:spacing w:after="60" w:before="60" w:line="260"/>
            </w:pPr>
            <w:r>
              <w:rPr>
                <w:sz w:val="19"/>
                <w:szCs w:val="19"/>
              </w:rPr>
              <w:t xml:space="preserve">Monitors email folders and triggers actions when new mail arrives</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AI Worker</w:t>
            </w:r>
          </w:p>
        </w:tc>
        <w:tc>
          <w:tcPr>
            <w:tcW w:type="dxa" w:w="1900"/>
            <w:tcMar>
              <w:top w:type="dxa" w:w="80"/>
              <w:left w:type="dxa" w:w="120"/>
              <w:bottom w:type="dxa" w:w="80"/>
              <w:right w:type="dxa" w:w="120"/>
            </w:tcMar>
          </w:tcPr>
          <w:p>
            <w:pPr>
              <w:spacing w:after="60" w:before="60" w:line="260"/>
            </w:pPr>
            <w:r>
              <w:rPr>
                <w:sz w:val="19"/>
                <w:szCs w:val="19"/>
              </w:rPr>
              <w:t xml:space="preserve">PROCESSING</w:t>
            </w:r>
          </w:p>
        </w:tc>
        <w:tc>
          <w:tcPr>
            <w:tcW w:type="dxa" w:w="5880"/>
            <w:tcMar>
              <w:top w:type="dxa" w:w="80"/>
              <w:left w:type="dxa" w:w="120"/>
              <w:bottom w:type="dxa" w:w="80"/>
              <w:right w:type="dxa" w:w="120"/>
            </w:tcMar>
          </w:tcPr>
          <w:p>
            <w:pPr>
              <w:spacing w:after="60" w:before="60" w:line="260"/>
            </w:pPr>
            <w:r>
              <w:rPr>
                <w:sz w:val="19"/>
                <w:szCs w:val="19"/>
              </w:rPr>
              <w:t xml:space="preserve">Intelligently processes data, makes logical decisions, and calls tools</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Human in the Loop</w:t>
            </w:r>
          </w:p>
        </w:tc>
        <w:tc>
          <w:tcPr>
            <w:tcW w:type="dxa" w:w="1900"/>
            <w:tcMar>
              <w:top w:type="dxa" w:w="80"/>
              <w:left w:type="dxa" w:w="120"/>
              <w:bottom w:type="dxa" w:w="80"/>
              <w:right w:type="dxa" w:w="120"/>
            </w:tcMar>
          </w:tcPr>
          <w:p>
            <w:pPr>
              <w:spacing w:after="60" w:before="60" w:line="260"/>
            </w:pPr>
            <w:r>
              <w:rPr>
                <w:sz w:val="19"/>
                <w:szCs w:val="19"/>
              </w:rPr>
              <w:t xml:space="preserve">PROCESSING</w:t>
            </w:r>
          </w:p>
        </w:tc>
        <w:tc>
          <w:tcPr>
            <w:tcW w:type="dxa" w:w="5880"/>
            <w:tcMar>
              <w:top w:type="dxa" w:w="80"/>
              <w:left w:type="dxa" w:w="120"/>
              <w:bottom w:type="dxa" w:w="80"/>
              <w:right w:type="dxa" w:w="120"/>
            </w:tcMar>
          </w:tcPr>
          <w:p>
            <w:pPr>
              <w:spacing w:after="60" w:before="60" w:line="260"/>
            </w:pPr>
            <w:r>
              <w:rPr>
                <w:sz w:val="19"/>
                <w:szCs w:val="19"/>
              </w:rPr>
              <w:t xml:space="preserve">Analyses data and decides whether to request human approval before proceeding</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Communicator</w:t>
            </w:r>
          </w:p>
        </w:tc>
        <w:tc>
          <w:tcPr>
            <w:tcW w:type="dxa" w:w="1900"/>
            <w:tcMar>
              <w:top w:type="dxa" w:w="80"/>
              <w:left w:type="dxa" w:w="120"/>
              <w:bottom w:type="dxa" w:w="80"/>
              <w:right w:type="dxa" w:w="120"/>
            </w:tcMar>
          </w:tcPr>
          <w:p>
            <w:pPr>
              <w:spacing w:after="60" w:before="60" w:line="260"/>
            </w:pPr>
            <w:r>
              <w:rPr>
                <w:sz w:val="19"/>
                <w:szCs w:val="19"/>
              </w:rPr>
              <w:t xml:space="preserve">COMMUNICATION</w:t>
            </w:r>
          </w:p>
        </w:tc>
        <w:tc>
          <w:tcPr>
            <w:tcW w:type="dxa" w:w="5880"/>
            <w:tcMar>
              <w:top w:type="dxa" w:w="80"/>
              <w:left w:type="dxa" w:w="120"/>
              <w:bottom w:type="dxa" w:w="80"/>
              <w:right w:type="dxa" w:w="120"/>
            </w:tcMar>
          </w:tcPr>
          <w:p>
            <w:pPr>
              <w:spacing w:after="60" w:before="60" w:line="260"/>
            </w:pPr>
            <w:r>
              <w:rPr>
                <w:sz w:val="19"/>
                <w:szCs w:val="19"/>
              </w:rPr>
              <w:t xml:space="preserve">Specialises in composing and sending emails based on understanding</w:t>
            </w:r>
          </w:p>
        </w:tc>
      </w:tr>
    </w:tbl>
    <w:p>
      <w:pPr>
        <w:spacing w:after="160"/>
      </w:pPr>
    </w:p>
    <w:p>
      <w:pPr>
        <w:spacing w:after="140" w:line="276"/>
      </w:pPr>
      <w:r>
        <w:t xml:space="preserve">The approval interface presents queued decision cards — for example "Waiting Offer Approval / URGENT / Berlin → Munich / 1200kg / 4 pallets / €1,250" — with EDIT and SEND OFFER actions, routed to a named human owner.</w:t>
      </w:r>
    </w:p>
    <w:p>
      <w:pPr>
        <w:pStyle w:val="Heading2"/>
        <w:spacing w:after="120" w:before="260"/>
      </w:pPr>
      <w:r>
        <w:t xml:space="preserve">3.4 Data and learning layer</w:t>
      </w:r>
    </w:p>
    <w:p>
      <w:pPr>
        <w:spacing w:after="140" w:line="276"/>
      </w:pPr>
      <w:r>
        <w:t xml:space="preserve">Connect the TMS, email inboxes, rate sheets and customer portals; the workers ingest unstructured communications — PDFs, Excel files, chats, emails — and convert them into structured data in real time. Marketed as "shared memory across your operations."</w:t>
      </w:r>
    </w:p>
    <w:p>
      <w:pPr>
        <w:spacing w:after="140" w:line="276"/>
      </w:pPr>
      <w:r>
        <w:t xml:space="preserve">The stated loop is: Connect &amp; ingest → AI worker on watch → Human-in-the-loop → Continuous AI learning → Insight loop.</w:t>
      </w:r>
    </w:p>
    <w:p>
      <w:pPr>
        <w:spacing w:after="140" w:line="276"/>
      </w:pPr>
      <w:r>
        <w:rPr>
          <w:b/>
          <w:bCs/>
        </w:rPr>
        <w:t xml:space="preserve">Context Layer / Decision Layer. </w:t>
      </w:r>
      <w:r>
        <w:t xml:space="preserve">The headline differentiator. It records the reasoning behind each operational decision rather than just the action taken. Two purposes: operators correct outputs and retrain the model, and the accumulated decision data is positioned as the long-term competitive moat.</w:t>
      </w:r>
    </w:p>
    <w:p>
      <w:pPr>
        <w:spacing w:after="140" w:line="276"/>
      </w:pPr>
      <w:r>
        <w:rPr>
          <w:b/>
          <w:bCs/>
        </w:rPr>
        <w:t xml:space="preserve">Shadow mode. </w:t>
      </w:r>
      <w:r>
        <w:t xml:space="preserve">Before an AI Worker goes live, it is fine-tuned on that customer's own historical cases, running alongside human operators without taking action, absorbing institutional knowledge before it is allowed to work independently.</w:t>
      </w:r>
    </w:p>
    <w:p>
      <w:pPr>
        <w:spacing w:after="140" w:line="276"/>
      </w:pPr>
      <w:r>
        <w:rPr>
          <w:b/>
          <w:bCs/>
        </w:rPr>
        <w:t xml:space="preserve">Claimed system properties: </w:t>
      </w:r>
      <w:r>
        <w:t xml:space="preserve">stateful across months-long shipment threads; end-to-end execution rather than drafting text; self-healing when carrier portals change or data sources fail; multi-modal training from emails, PDFs, rate sheets, TMS entries and phone calls.</w:t>
      </w:r>
    </w:p>
    <w:p>
      <w:pPr>
        <w:pStyle w:val="Heading2"/>
        <w:spacing w:after="120" w:before="260"/>
      </w:pPr>
      <w:r>
        <w:t xml:space="preserve">3.5 Channels and integrations</w:t>
      </w:r>
    </w:p>
    <w:p>
      <w:pPr>
        <w:spacing w:after="140" w:line="276"/>
      </w:pPr>
      <w:r>
        <w:t xml:space="preserve">Channels: email, voice, SMS, chat and portal logins, around the clock and multilingual.</w:t>
      </w:r>
    </w:p>
    <w:p>
      <w:pPr>
        <w:spacing w:after="140" w:line="276"/>
      </w:pPr>
      <w:r>
        <w:t xml:space="preserve">Named integrations: Gmail, Outlook, Slack, Microsoft Teams, WhatsApp, WiseTech, Timocom. Integration surface per the engineering job specs also covers TMS, ERP, EDI, SFTP, REST APIs, event queues and telephony — "including the undocumented parts."</w:t>
      </w:r>
    </w:p>
    <w:p>
      <w:pPr>
        <w:pStyle w:val="Heading1"/>
        <w:spacing w:after="160" w:before="360"/>
      </w:pPr>
      <w:r>
        <w:t xml:space="preserve">4. Deployment lifecycle</w:t>
      </w:r>
    </w:p>
    <w:p>
      <w:pPr>
        <w:spacing w:after="140" w:line="276"/>
      </w:pPr>
      <w:r>
        <w:t xml:space="preserve">The motion is forward-deployed, not self-serve.</w:t>
      </w:r>
    </w:p>
    <w:p>
      <w:pPr>
        <w:pStyle w:val="ListParagraph"/>
        <w:numPr>
          <w:ilvl w:val="0"/>
          <w:numId w:val="2"/>
        </w:numPr>
        <w:spacing w:after="90" w:line="276"/>
      </w:pPr>
      <w:r>
        <w:t xml:space="preserve">Discovery workshop with 5U AI to identify the first high-ROI use case</w:t>
      </w:r>
    </w:p>
    <w:p>
      <w:pPr>
        <w:pStyle w:val="ListParagraph"/>
        <w:numPr>
          <w:ilvl w:val="0"/>
          <w:numId w:val="2"/>
        </w:numPr>
        <w:spacing w:after="90" w:line="276"/>
      </w:pPr>
      <w:r>
        <w:t xml:space="preserve">A Forward Deployed Engineer embeds with the customer, maps workflows, and writes integration code specific to that deployment</w:t>
      </w:r>
    </w:p>
    <w:p>
      <w:pPr>
        <w:pStyle w:val="ListParagraph"/>
        <w:numPr>
          <w:ilvl w:val="0"/>
          <w:numId w:val="2"/>
        </w:numPr>
        <w:spacing w:after="90" w:line="276"/>
      </w:pPr>
      <w:r>
        <w:t xml:space="preserve">Shadow mode on the customer's historical cases</w:t>
      </w:r>
    </w:p>
    <w:p>
      <w:pPr>
        <w:pStyle w:val="ListParagraph"/>
        <w:numPr>
          <w:ilvl w:val="0"/>
          <w:numId w:val="2"/>
        </w:numPr>
        <w:spacing w:after="90" w:line="276"/>
      </w:pPr>
      <w:r>
        <w:t xml:space="preserve">Go-live in approximately four weeks (the site says "a matter of weeks")</w:t>
      </w:r>
    </w:p>
    <w:p>
      <w:pPr>
        <w:pStyle w:val="ListParagraph"/>
        <w:numPr>
          <w:ilvl w:val="0"/>
          <w:numId w:val="2"/>
        </w:numPr>
        <w:spacing w:after="90" w:line="276"/>
      </w:pPr>
      <w:r>
        <w:t xml:space="preserve">Initially 100% of AI decisions require human approval, delivered via Microsoft Teams or Slack</w:t>
      </w:r>
    </w:p>
    <w:p>
      <w:pPr>
        <w:pStyle w:val="ListParagraph"/>
        <w:numPr>
          <w:ilvl w:val="0"/>
          <w:numId w:val="2"/>
        </w:numPr>
        <w:spacing w:after="90" w:line="276"/>
      </w:pPr>
      <w:r>
        <w:t xml:space="preserve">As confidence builds, automation reaches 85–95% unattended per use case</w:t>
      </w:r>
    </w:p>
    <w:p>
      <w:pPr>
        <w:pStyle w:val="ListParagraph"/>
        <w:numPr>
          <w:ilvl w:val="0"/>
          <w:numId w:val="2"/>
        </w:numPr>
        <w:spacing w:after="90" w:line="276"/>
      </w:pPr>
      <w:r>
        <w:t xml:space="preserve">Weekly customer check-ins for the first six weeks, then a monthly cadence</w:t>
      </w:r>
    </w:p>
    <w:p>
      <w:pPr>
        <w:pStyle w:val="ListParagraph"/>
        <w:numPr>
          <w:ilvl w:val="0"/>
          <w:numId w:val="2"/>
        </w:numPr>
        <w:spacing w:after="90" w:line="276"/>
      </w:pPr>
      <w:r>
        <w:t xml:space="preserve">Expansion into further workflows, teams and locations</w:t>
      </w:r>
    </w:p>
    <w:p>
      <w:pPr>
        <w:spacing w:after="160"/>
      </w:pPr>
    </w:p>
    <w:p>
      <w:pPr>
        <w:spacing w:after="140" w:line="276"/>
      </w:pPr>
      <w:r>
        <w:rPr>
          <w:b/>
          <w:bCs/>
        </w:rPr>
        <w:t xml:space="preserve">Customer health metric: automation rate. </w:t>
      </w:r>
      <w:r>
        <w:t xml:space="preserve">Stated explicitly in the Founding Ops job spec as the main signal, supported by time-to-go-live and declining escalations. The weekly account checklist reviews automation rate, human-takeover reasons, escalation causes, recurring failures, and blockers preventing further automation.</w:t>
      </w:r>
    </w:p>
    <w:p>
      <w:pPr>
        <w:pStyle w:val="Heading1"/>
        <w:spacing w:after="160" w:before="360"/>
      </w:pPr>
      <w:r>
        <w:t xml:space="preserve">5. Use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280"/>
        <w:gridCol w:w="2000"/>
      </w:tblGrid>
      <w:tr>
        <w:trPr>
          <w:cantSplit/>
          <w:tblHeader/>
        </w:trPr>
        <w:tc>
          <w:tcPr>
            <w:tcW w:type="dxa" w:w="1700"/>
            <w:shd w:fill="EDEAE4" w:color="auto" w:val="clear"/>
            <w:tcMar>
              <w:top w:type="dxa" w:w="80"/>
              <w:left w:type="dxa" w:w="120"/>
              <w:bottom w:type="dxa" w:w="80"/>
              <w:right w:type="dxa" w:w="120"/>
            </w:tcMar>
          </w:tcPr>
          <w:p>
            <w:pPr>
              <w:spacing w:after="60" w:before="60" w:line="260"/>
            </w:pPr>
            <w:r>
              <w:rPr>
                <w:b/>
                <w:bCs/>
                <w:sz w:val="19"/>
                <w:szCs w:val="19"/>
              </w:rPr>
              <w:t xml:space="preserve">Use case</w:t>
            </w:r>
          </w:p>
        </w:tc>
        <w:tc>
          <w:tcPr>
            <w:tcW w:type="dxa" w:w="3100"/>
            <w:shd w:fill="EDEAE4" w:color="auto" w:val="clear"/>
            <w:tcMar>
              <w:top w:type="dxa" w:w="80"/>
              <w:left w:type="dxa" w:w="120"/>
              <w:bottom w:type="dxa" w:w="80"/>
              <w:right w:type="dxa" w:w="120"/>
            </w:tcMar>
          </w:tcPr>
          <w:p>
            <w:pPr>
              <w:spacing w:after="60" w:before="60" w:line="260"/>
            </w:pPr>
            <w:r>
              <w:rPr>
                <w:b/>
                <w:bCs/>
                <w:sz w:val="19"/>
                <w:szCs w:val="19"/>
              </w:rPr>
              <w:t xml:space="preserve">Problem (verbatim)</w:t>
            </w:r>
          </w:p>
        </w:tc>
        <w:tc>
          <w:tcPr>
            <w:tcW w:type="dxa" w:w="3280"/>
            <w:shd w:fill="EDEAE4" w:color="auto" w:val="clear"/>
            <w:tcMar>
              <w:top w:type="dxa" w:w="80"/>
              <w:left w:type="dxa" w:w="120"/>
              <w:bottom w:type="dxa" w:w="80"/>
              <w:right w:type="dxa" w:w="120"/>
            </w:tcMar>
          </w:tcPr>
          <w:p>
            <w:pPr>
              <w:spacing w:after="60" w:before="60" w:line="260"/>
            </w:pPr>
            <w:r>
              <w:rPr>
                <w:b/>
                <w:bCs/>
                <w:sz w:val="19"/>
                <w:szCs w:val="19"/>
              </w:rPr>
              <w:t xml:space="preserve">Solution (verbatim)</w:t>
            </w:r>
          </w:p>
        </w:tc>
        <w:tc>
          <w:tcPr>
            <w:tcW w:type="dxa" w:w="2000"/>
            <w:shd w:fill="EDEAE4" w:color="auto" w:val="clear"/>
            <w:tcMar>
              <w:top w:type="dxa" w:w="80"/>
              <w:left w:type="dxa" w:w="120"/>
              <w:bottom w:type="dxa" w:w="80"/>
              <w:right w:type="dxa" w:w="120"/>
            </w:tcMar>
          </w:tcPr>
          <w:p>
            <w:pPr>
              <w:spacing w:after="60" w:before="60" w:line="260"/>
            </w:pPr>
            <w:r>
              <w:rPr>
                <w:b/>
                <w:bCs/>
                <w:sz w:val="19"/>
                <w:szCs w:val="19"/>
              </w:rPr>
              <w:t xml:space="preserve">Claimed metrics</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Rate Management</w:t>
            </w:r>
          </w:p>
        </w:tc>
        <w:tc>
          <w:tcPr>
            <w:tcW w:type="dxa" w:w="3100"/>
            <w:tcMar>
              <w:top w:type="dxa" w:w="80"/>
              <w:left w:type="dxa" w:w="120"/>
              <w:bottom w:type="dxa" w:w="80"/>
              <w:right w:type="dxa" w:w="120"/>
            </w:tcMar>
          </w:tcPr>
          <w:p>
            <w:pPr>
              <w:spacing w:after="60" w:before="60" w:line="260"/>
            </w:pPr>
            <w:r>
              <w:rPr>
                <w:sz w:val="19"/>
                <w:szCs w:val="19"/>
              </w:rPr>
              <w:t xml:space="preserve">"Customers send time sensitive request for quotes. Limited time, busy teammates. Lost deals."</w:t>
            </w:r>
          </w:p>
        </w:tc>
        <w:tc>
          <w:tcPr>
            <w:tcW w:type="dxa" w:w="3280"/>
            <w:tcMar>
              <w:top w:type="dxa" w:w="80"/>
              <w:left w:type="dxa" w:w="120"/>
              <w:bottom w:type="dxa" w:w="80"/>
              <w:right w:type="dxa" w:w="120"/>
            </w:tcMar>
          </w:tcPr>
          <w:p>
            <w:pPr>
              <w:spacing w:after="60" w:before="60" w:line="260"/>
            </w:pPr>
            <w:r>
              <w:rPr>
                <w:sz w:val="19"/>
                <w:szCs w:val="19"/>
              </w:rPr>
              <w:t xml:space="preserve">"AI workers handle the communication and data entry part. Gets your confirmation and sends the quote within minutes."</w:t>
            </w:r>
          </w:p>
        </w:tc>
        <w:tc>
          <w:tcPr>
            <w:tcW w:type="dxa" w:w="2000"/>
            <w:tcMar>
              <w:top w:type="dxa" w:w="80"/>
              <w:left w:type="dxa" w:w="120"/>
              <w:bottom w:type="dxa" w:w="80"/>
              <w:right w:type="dxa" w:w="120"/>
            </w:tcMar>
          </w:tcPr>
          <w:p>
            <w:pPr>
              <w:spacing w:after="60" w:before="60" w:line="260"/>
            </w:pPr>
            <w:r>
              <w:rPr>
                <w:sz w:val="19"/>
                <w:szCs w:val="19"/>
              </w:rPr>
              <w:t xml:space="preserve">90% faster replies; more won deals; 24/7 uptime</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Track &amp; Trace</w:t>
            </w:r>
          </w:p>
        </w:tc>
        <w:tc>
          <w:tcPr>
            <w:tcW w:type="dxa" w:w="3100"/>
            <w:tcMar>
              <w:top w:type="dxa" w:w="80"/>
              <w:left w:type="dxa" w:w="120"/>
              <w:bottom w:type="dxa" w:w="80"/>
              <w:right w:type="dxa" w:w="120"/>
            </w:tcMar>
          </w:tcPr>
          <w:p>
            <w:pPr>
              <w:spacing w:after="60" w:before="60" w:line="260"/>
            </w:pPr>
            <w:r>
              <w:rPr>
                <w:sz w:val="19"/>
                <w:szCs w:val="19"/>
              </w:rPr>
              <w:t xml:space="preserve">"Inability to update customers on time. Repetitive and recurring."</w:t>
            </w:r>
          </w:p>
        </w:tc>
        <w:tc>
          <w:tcPr>
            <w:tcW w:type="dxa" w:w="3280"/>
            <w:tcMar>
              <w:top w:type="dxa" w:w="80"/>
              <w:left w:type="dxa" w:w="120"/>
              <w:bottom w:type="dxa" w:w="80"/>
              <w:right w:type="dxa" w:w="120"/>
            </w:tcMar>
          </w:tcPr>
          <w:p>
            <w:pPr>
              <w:spacing w:after="60" w:before="60" w:line="260"/>
            </w:pPr>
            <w:r>
              <w:rPr>
                <w:sz w:val="19"/>
                <w:szCs w:val="19"/>
              </w:rPr>
              <w:t xml:space="preserve">"AI assists your customers by communicating with them about the status of the order."</w:t>
            </w:r>
          </w:p>
        </w:tc>
        <w:tc>
          <w:tcPr>
            <w:tcW w:type="dxa" w:w="2000"/>
            <w:tcMar>
              <w:top w:type="dxa" w:w="80"/>
              <w:left w:type="dxa" w:w="120"/>
              <w:bottom w:type="dxa" w:w="80"/>
              <w:right w:type="dxa" w:w="120"/>
            </w:tcMar>
          </w:tcPr>
          <w:p>
            <w:pPr>
              <w:spacing w:after="60" w:before="60" w:line="260"/>
            </w:pPr>
            <w:r>
              <w:rPr>
                <w:sz w:val="19"/>
                <w:szCs w:val="19"/>
              </w:rPr>
              <w:t xml:space="preserve">100% coverage; 10x productivity</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Financial Reconciliation</w:t>
            </w:r>
          </w:p>
        </w:tc>
        <w:tc>
          <w:tcPr>
            <w:tcW w:type="dxa" w:w="3100"/>
            <w:tcMar>
              <w:top w:type="dxa" w:w="80"/>
              <w:left w:type="dxa" w:w="120"/>
              <w:bottom w:type="dxa" w:w="80"/>
              <w:right w:type="dxa" w:w="120"/>
            </w:tcMar>
          </w:tcPr>
          <w:p>
            <w:pPr>
              <w:spacing w:after="60" w:before="60" w:line="260"/>
            </w:pPr>
            <w:r>
              <w:rPr>
                <w:sz w:val="19"/>
                <w:szCs w:val="19"/>
              </w:rPr>
              <w:t xml:space="preserve">"After contracting with parties, need to check if the invoices match the contracted rates"</w:t>
            </w:r>
          </w:p>
        </w:tc>
        <w:tc>
          <w:tcPr>
            <w:tcW w:type="dxa" w:w="3280"/>
            <w:tcMar>
              <w:top w:type="dxa" w:w="80"/>
              <w:left w:type="dxa" w:w="120"/>
              <w:bottom w:type="dxa" w:w="80"/>
              <w:right w:type="dxa" w:w="120"/>
            </w:tcMar>
          </w:tcPr>
          <w:p>
            <w:pPr>
              <w:spacing w:after="60" w:before="60" w:line="260"/>
            </w:pPr>
            <w:r>
              <w:rPr>
                <w:sz w:val="19"/>
                <w:szCs w:val="19"/>
              </w:rPr>
              <w:t xml:space="preserve">"Automate the Invoices and the POD collection."</w:t>
            </w:r>
          </w:p>
        </w:tc>
        <w:tc>
          <w:tcPr>
            <w:tcW w:type="dxa" w:w="2000"/>
            <w:tcMar>
              <w:top w:type="dxa" w:w="80"/>
              <w:left w:type="dxa" w:w="120"/>
              <w:bottom w:type="dxa" w:w="80"/>
              <w:right w:type="dxa" w:w="120"/>
            </w:tcMar>
          </w:tcPr>
          <w:p>
            <w:pPr>
              <w:spacing w:after="60" w:before="60" w:line="260"/>
            </w:pPr>
            <w:r>
              <w:rPr>
                <w:sz w:val="19"/>
                <w:szCs w:val="19"/>
              </w:rPr>
              <w:t xml:space="preserve">+98.5% extraction accuracy</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Customer Service</w:t>
            </w:r>
          </w:p>
        </w:tc>
        <w:tc>
          <w:tcPr>
            <w:tcW w:type="dxa" w:w="3100"/>
            <w:tcMar>
              <w:top w:type="dxa" w:w="80"/>
              <w:left w:type="dxa" w:w="120"/>
              <w:bottom w:type="dxa" w:w="80"/>
              <w:right w:type="dxa" w:w="120"/>
            </w:tcMar>
          </w:tcPr>
          <w:p>
            <w:pPr>
              <w:spacing w:after="60" w:before="60" w:line="260"/>
            </w:pPr>
            <w:r>
              <w:rPr>
                <w:sz w:val="19"/>
                <w:szCs w:val="19"/>
              </w:rPr>
              <w:t xml:space="preserve">"After-hours customer requests went unanswered until the next morning."</w:t>
            </w:r>
          </w:p>
        </w:tc>
        <w:tc>
          <w:tcPr>
            <w:tcW w:type="dxa" w:w="3280"/>
            <w:tcMar>
              <w:top w:type="dxa" w:w="80"/>
              <w:left w:type="dxa" w:w="120"/>
              <w:bottom w:type="dxa" w:w="80"/>
              <w:right w:type="dxa" w:w="120"/>
            </w:tcMar>
          </w:tcPr>
          <w:p>
            <w:pPr>
              <w:spacing w:after="60" w:before="60" w:line="260"/>
            </w:pPr>
            <w:r>
              <w:rPr>
                <w:sz w:val="19"/>
                <w:szCs w:val="19"/>
              </w:rPr>
              <w:t xml:space="preserve">"AI responded 24/7 with accurate status, escalating only when needed."</w:t>
            </w:r>
          </w:p>
        </w:tc>
        <w:tc>
          <w:tcPr>
            <w:tcW w:type="dxa" w:w="2000"/>
            <w:tcMar>
              <w:top w:type="dxa" w:w="80"/>
              <w:left w:type="dxa" w:w="120"/>
              <w:bottom w:type="dxa" w:w="80"/>
              <w:right w:type="dxa" w:w="120"/>
            </w:tcMar>
          </w:tcPr>
          <w:p>
            <w:pPr>
              <w:spacing w:after="60" w:before="60" w:line="260"/>
            </w:pPr>
            <w:r>
              <w:rPr>
                <w:sz w:val="19"/>
                <w:szCs w:val="19"/>
              </w:rPr>
              <w:t xml:space="preserve">+80% requests handled; 100% customer satisfaction</w:t>
            </w:r>
          </w:p>
        </w:tc>
      </w:tr>
    </w:tbl>
    <w:p>
      <w:pPr>
        <w:spacing w:after="160"/>
      </w:pPr>
    </w:p>
    <w:p>
      <w:pPr>
        <w:spacing w:after="140" w:line="276"/>
      </w:pPr>
      <w:r>
        <w:rPr>
          <w:b/>
          <w:bCs/>
        </w:rPr>
        <w:t xml:space="preserve">Real beachhead. </w:t>
      </w:r>
      <w:r>
        <w:t xml:space="preserve">The FAQ is more candid than the marketing: "Currently, we see a high ROI from our customers on rate management and track-and-trace use cases that require many touches and clicks for each shipment." Invoice reconciliation and after-hours support are secondary.</w:t>
      </w:r>
    </w:p>
    <w:p>
      <w:pPr>
        <w:pStyle w:val="Heading2"/>
        <w:spacing w:after="120" w:before="260"/>
      </w:pPr>
      <w:r>
        <w:t xml:space="preserve">Headline business claims</w:t>
      </w:r>
    </w:p>
    <w:p>
      <w:pPr>
        <w:pStyle w:val="ListParagraph"/>
        <w:numPr>
          <w:ilvl w:val="0"/>
          <w:numId w:val="2"/>
        </w:numPr>
        <w:spacing w:after="90" w:line="276"/>
      </w:pPr>
      <w:r>
        <w:t xml:space="preserve">70% of a daily operations person's day saved</w:t>
      </w:r>
    </w:p>
    <w:p>
      <w:pPr>
        <w:pStyle w:val="ListParagraph"/>
        <w:numPr>
          <w:ilvl w:val="0"/>
          <w:numId w:val="2"/>
        </w:numPr>
        <w:spacing w:after="90" w:line="276"/>
      </w:pPr>
      <w:r>
        <w:t xml:space="preserve">+90% of data entry errors eliminated</w:t>
      </w:r>
    </w:p>
    <w:p>
      <w:pPr>
        <w:pStyle w:val="ListParagraph"/>
        <w:numPr>
          <w:ilvl w:val="0"/>
          <w:numId w:val="2"/>
        </w:numPr>
        <w:spacing w:after="90" w:line="276"/>
      </w:pPr>
      <w:r>
        <w:t xml:space="preserve">10x more output at the cost of one employee</w:t>
      </w:r>
    </w:p>
    <w:p>
      <w:pPr>
        <w:pStyle w:val="ListParagraph"/>
        <w:numPr>
          <w:ilvl w:val="0"/>
          <w:numId w:val="2"/>
        </w:numPr>
        <w:spacing w:after="90" w:line="276"/>
      </w:pPr>
      <w:r>
        <w:t xml:space="preserve">15x ROI from day one; 100% task coverage</w:t>
      </w:r>
    </w:p>
    <w:p>
      <w:pPr>
        <w:pStyle w:val="ListParagraph"/>
        <w:numPr>
          <w:ilvl w:val="0"/>
          <w:numId w:val="2"/>
        </w:numPr>
        <w:spacing w:after="90" w:line="276"/>
      </w:pPr>
      <w:r>
        <w:t xml:space="preserve">Framing statistic used on the product page: "Revenue per employee in logistics is down 33%."</w:t>
      </w:r>
    </w:p>
    <w:p>
      <w:pPr>
        <w:pStyle w:val="Heading1"/>
        <w:spacing w:after="160" w:before="360"/>
      </w:pPr>
      <w:r>
        <w:t xml:space="preserve">6. Pricing and commercial terms</w:t>
      </w:r>
    </w:p>
    <w:p>
      <w:pPr>
        <w:spacing w:after="140" w:line="276"/>
      </w:pPr>
      <w:r>
        <w:rPr>
          <w:b/>
          <w:bCs/>
        </w:rPr>
        <w:t xml:space="preserve">There is no public pricing. </w:t>
      </w:r>
      <w:r>
        <w:t xml:space="preserve">No pricing page exists — confirmed against sitemap.xml, which lists 13 URLs and none for pricing. The FAQ says only: "We try to design an individual price package depending on the use case and problem we solve."</w:t>
      </w:r>
    </w:p>
    <w:p>
      <w:pPr>
        <w:spacing w:after="140" w:line="276"/>
      </w:pPr>
      <w:r>
        <w:t xml:space="preserve">The Terms &amp; Conditions, however, disclose the entire commercial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6480"/>
        <w:gridCol w:w="1300"/>
      </w:tblGrid>
      <w:tr>
        <w:trPr>
          <w:cantSplit/>
          <w:tblHeader/>
        </w:trPr>
        <w:tc>
          <w:tcPr>
            <w:tcW w:type="dxa" w:w="2300"/>
            <w:shd w:fill="EDEAE4" w:color="auto" w:val="clear"/>
            <w:tcMar>
              <w:top w:type="dxa" w:w="80"/>
              <w:left w:type="dxa" w:w="120"/>
              <w:bottom w:type="dxa" w:w="80"/>
              <w:right w:type="dxa" w:w="120"/>
            </w:tcMar>
          </w:tcPr>
          <w:p>
            <w:pPr>
              <w:spacing w:after="60" w:before="60" w:line="260"/>
            </w:pPr>
            <w:r>
              <w:rPr>
                <w:b/>
                <w:bCs/>
                <w:sz w:val="19"/>
                <w:szCs w:val="19"/>
              </w:rPr>
              <w:t xml:space="preserve">Term</w:t>
            </w:r>
          </w:p>
        </w:tc>
        <w:tc>
          <w:tcPr>
            <w:tcW w:type="dxa" w:w="6480"/>
            <w:shd w:fill="EDEAE4" w:color="auto" w:val="clear"/>
            <w:tcMar>
              <w:top w:type="dxa" w:w="80"/>
              <w:left w:type="dxa" w:w="120"/>
              <w:bottom w:type="dxa" w:w="80"/>
              <w:right w:type="dxa" w:w="120"/>
            </w:tcMar>
          </w:tcPr>
          <w:p>
            <w:pPr>
              <w:spacing w:after="60" w:before="60" w:line="260"/>
            </w:pPr>
            <w:r>
              <w:rPr>
                <w:b/>
                <w:bCs/>
                <w:sz w:val="19"/>
                <w:szCs w:val="19"/>
              </w:rPr>
              <w:t xml:space="preserve">Detail</w:t>
            </w:r>
          </w:p>
        </w:tc>
        <w:tc>
          <w:tcPr>
            <w:tcW w:type="dxa" w:w="1300"/>
            <w:shd w:fill="EDEAE4" w:color="auto" w:val="clear"/>
            <w:tcMar>
              <w:top w:type="dxa" w:w="80"/>
              <w:left w:type="dxa" w:w="120"/>
              <w:bottom w:type="dxa" w:w="80"/>
              <w:right w:type="dxa" w:w="120"/>
            </w:tcMar>
          </w:tcPr>
          <w:p>
            <w:pPr>
              <w:spacing w:after="60" w:before="60" w:line="260"/>
            </w:pPr>
            <w:r>
              <w:rPr>
                <w:b/>
                <w:bCs/>
                <w:sz w:val="19"/>
                <w:szCs w:val="19"/>
              </w:rPr>
              <w:t xml:space="preserve">Clause</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Currency</w:t>
            </w:r>
          </w:p>
        </w:tc>
        <w:tc>
          <w:tcPr>
            <w:tcW w:type="dxa" w:w="6480"/>
            <w:tcMar>
              <w:top w:type="dxa" w:w="80"/>
              <w:left w:type="dxa" w:w="120"/>
              <w:bottom w:type="dxa" w:w="80"/>
              <w:right w:type="dxa" w:w="120"/>
            </w:tcMar>
          </w:tcPr>
          <w:p>
            <w:pPr>
              <w:spacing w:after="60" w:before="60" w:line="260"/>
            </w:pPr>
            <w:r>
              <w:rPr>
                <w:sz w:val="19"/>
                <w:szCs w:val="19"/>
              </w:rPr>
              <w:t xml:space="preserve">All fees in euros, exclusive of VAT and levies</w:t>
            </w:r>
          </w:p>
        </w:tc>
        <w:tc>
          <w:tcPr>
            <w:tcW w:type="dxa" w:w="1300"/>
            <w:tcMar>
              <w:top w:type="dxa" w:w="80"/>
              <w:left w:type="dxa" w:w="120"/>
              <w:bottom w:type="dxa" w:w="80"/>
              <w:right w:type="dxa" w:w="120"/>
            </w:tcMar>
          </w:tcPr>
          <w:p>
            <w:pPr>
              <w:spacing w:after="60" w:before="60" w:line="260"/>
            </w:pPr>
            <w:r>
              <w:rPr>
                <w:sz w:val="19"/>
                <w:szCs w:val="19"/>
              </w:rPr>
              <w:t xml:space="preserve">8.1</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Contract vehicle</w:t>
            </w:r>
          </w:p>
        </w:tc>
        <w:tc>
          <w:tcPr>
            <w:tcW w:type="dxa" w:w="6480"/>
            <w:tcMar>
              <w:top w:type="dxa" w:w="80"/>
              <w:left w:type="dxa" w:w="120"/>
              <w:bottom w:type="dxa" w:w="80"/>
              <w:right w:type="dxa" w:w="120"/>
            </w:tcMar>
          </w:tcPr>
          <w:p>
            <w:pPr>
              <w:spacing w:after="60" w:before="60" w:line="260"/>
            </w:pPr>
            <w:r>
              <w:rPr>
                <w:sz w:val="19"/>
                <w:szCs w:val="19"/>
              </w:rPr>
              <w:t xml:space="preserve">Order Form / SOW per deal — bespoke, not tiered</w:t>
            </w:r>
          </w:p>
        </w:tc>
        <w:tc>
          <w:tcPr>
            <w:tcW w:type="dxa" w:w="1300"/>
            <w:tcMar>
              <w:top w:type="dxa" w:w="80"/>
              <w:left w:type="dxa" w:w="120"/>
              <w:bottom w:type="dxa" w:w="80"/>
              <w:right w:type="dxa" w:w="120"/>
            </w:tcMar>
          </w:tcPr>
          <w:p>
            <w:pPr>
              <w:spacing w:after="60" w:before="60" w:line="260"/>
            </w:pPr>
            <w:r>
              <w:rPr>
                <w:sz w:val="19"/>
                <w:szCs w:val="19"/>
              </w:rPr>
              <w:t xml:space="preserve">2.2</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Initial term</w:t>
            </w:r>
          </w:p>
        </w:tc>
        <w:tc>
          <w:tcPr>
            <w:tcW w:type="dxa" w:w="6480"/>
            <w:tcMar>
              <w:top w:type="dxa" w:w="80"/>
              <w:left w:type="dxa" w:w="120"/>
              <w:bottom w:type="dxa" w:w="80"/>
              <w:right w:type="dxa" w:w="120"/>
            </w:tcMar>
          </w:tcPr>
          <w:p>
            <w:pPr>
              <w:spacing w:after="60" w:before="60" w:line="260"/>
            </w:pPr>
            <w:r>
              <w:rPr>
                <w:sz w:val="19"/>
                <w:szCs w:val="19"/>
              </w:rPr>
              <w:t xml:space="preserve">2 years</w:t>
            </w:r>
          </w:p>
        </w:tc>
        <w:tc>
          <w:tcPr>
            <w:tcW w:type="dxa" w:w="1300"/>
            <w:tcMar>
              <w:top w:type="dxa" w:w="80"/>
              <w:left w:type="dxa" w:w="120"/>
              <w:bottom w:type="dxa" w:w="80"/>
              <w:right w:type="dxa" w:w="120"/>
            </w:tcMar>
          </w:tcPr>
          <w:p>
            <w:pPr>
              <w:spacing w:after="60" w:before="60" w:line="260"/>
            </w:pPr>
            <w:r>
              <w:rPr>
                <w:sz w:val="19"/>
                <w:szCs w:val="19"/>
              </w:rPr>
              <w:t xml:space="preserve">15.1</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Renewal</w:t>
            </w:r>
          </w:p>
        </w:tc>
        <w:tc>
          <w:tcPr>
            <w:tcW w:type="dxa" w:w="6480"/>
            <w:tcMar>
              <w:top w:type="dxa" w:w="80"/>
              <w:left w:type="dxa" w:w="120"/>
              <w:bottom w:type="dxa" w:w="80"/>
              <w:right w:type="dxa" w:w="120"/>
            </w:tcMar>
          </w:tcPr>
          <w:p>
            <w:pPr>
              <w:spacing w:after="60" w:before="60" w:line="260"/>
            </w:pPr>
            <w:r>
              <w:rPr>
                <w:sz w:val="19"/>
                <w:szCs w:val="19"/>
              </w:rPr>
              <w:t xml:space="preserve">Automatic, for periods of up to 1 year</w:t>
            </w:r>
          </w:p>
        </w:tc>
        <w:tc>
          <w:tcPr>
            <w:tcW w:type="dxa" w:w="1300"/>
            <w:tcMar>
              <w:top w:type="dxa" w:w="80"/>
              <w:left w:type="dxa" w:w="120"/>
              <w:bottom w:type="dxa" w:w="80"/>
              <w:right w:type="dxa" w:w="120"/>
            </w:tcMar>
          </w:tcPr>
          <w:p>
            <w:pPr>
              <w:spacing w:after="60" w:before="60" w:line="260"/>
            </w:pPr>
            <w:r>
              <w:rPr>
                <w:sz w:val="19"/>
                <w:szCs w:val="19"/>
              </w:rPr>
              <w:t xml:space="preserve">15.1</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Notice</w:t>
            </w:r>
          </w:p>
        </w:tc>
        <w:tc>
          <w:tcPr>
            <w:tcW w:type="dxa" w:w="6480"/>
            <w:tcMar>
              <w:top w:type="dxa" w:w="80"/>
              <w:left w:type="dxa" w:w="120"/>
              <w:bottom w:type="dxa" w:w="80"/>
              <w:right w:type="dxa" w:w="120"/>
            </w:tcMar>
          </w:tcPr>
          <w:p>
            <w:pPr>
              <w:spacing w:after="60" w:before="60" w:line="260"/>
            </w:pPr>
            <w:r>
              <w:rPr>
                <w:sz w:val="19"/>
                <w:szCs w:val="19"/>
              </w:rPr>
              <w:t xml:space="preserve">3 months' written notice before period end</w:t>
            </w:r>
          </w:p>
        </w:tc>
        <w:tc>
          <w:tcPr>
            <w:tcW w:type="dxa" w:w="1300"/>
            <w:tcMar>
              <w:top w:type="dxa" w:w="80"/>
              <w:left w:type="dxa" w:w="120"/>
              <w:bottom w:type="dxa" w:w="80"/>
              <w:right w:type="dxa" w:w="120"/>
            </w:tcMar>
          </w:tcPr>
          <w:p>
            <w:pPr>
              <w:spacing w:after="60" w:before="60" w:line="260"/>
            </w:pPr>
            <w:r>
              <w:rPr>
                <w:sz w:val="19"/>
                <w:szCs w:val="19"/>
              </w:rPr>
              <w:t xml:space="preserve">15.1</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Termination for convenience</w:t>
            </w:r>
          </w:p>
        </w:tc>
        <w:tc>
          <w:tcPr>
            <w:tcW w:type="dxa" w:w="6480"/>
            <w:tcMar>
              <w:top w:type="dxa" w:w="80"/>
              <w:left w:type="dxa" w:w="120"/>
              <w:bottom w:type="dxa" w:w="80"/>
              <w:right w:type="dxa" w:w="120"/>
            </w:tcMar>
          </w:tcPr>
          <w:p>
            <w:pPr>
              <w:spacing w:after="60" w:before="60" w:line="260"/>
            </w:pPr>
            <w:r>
              <w:rPr>
                <w:sz w:val="19"/>
                <w:szCs w:val="19"/>
              </w:rPr>
              <w:t xml:space="preserve">None — only breach, financial difficulty, or change of control</w:t>
            </w:r>
          </w:p>
        </w:tc>
        <w:tc>
          <w:tcPr>
            <w:tcW w:type="dxa" w:w="1300"/>
            <w:tcMar>
              <w:top w:type="dxa" w:w="80"/>
              <w:left w:type="dxa" w:w="120"/>
              <w:bottom w:type="dxa" w:w="80"/>
              <w:right w:type="dxa" w:w="120"/>
            </w:tcMar>
          </w:tcPr>
          <w:p>
            <w:pPr>
              <w:spacing w:after="60" w:before="60" w:line="260"/>
            </w:pPr>
            <w:r>
              <w:rPr>
                <w:sz w:val="19"/>
                <w:szCs w:val="19"/>
              </w:rPr>
              <w:t xml:space="preserve">15.2–15.4</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Price increases</w:t>
            </w:r>
          </w:p>
        </w:tc>
        <w:tc>
          <w:tcPr>
            <w:tcW w:type="dxa" w:w="6480"/>
            <w:tcMar>
              <w:top w:type="dxa" w:w="80"/>
              <w:left w:type="dxa" w:w="120"/>
              <w:bottom w:type="dxa" w:w="80"/>
              <w:right w:type="dxa" w:w="120"/>
            </w:tcMar>
          </w:tcPr>
          <w:p>
            <w:pPr>
              <w:spacing w:after="60" w:before="60" w:line="260"/>
            </w:pPr>
            <w:r>
              <w:rPr>
                <w:sz w:val="19"/>
                <w:szCs w:val="19"/>
              </w:rPr>
              <w:t xml:space="preserve">Provider may increase fees on 6 weeks' notice, maximum once annually</w:t>
            </w:r>
          </w:p>
        </w:tc>
        <w:tc>
          <w:tcPr>
            <w:tcW w:type="dxa" w:w="1300"/>
            <w:tcMar>
              <w:top w:type="dxa" w:w="80"/>
              <w:left w:type="dxa" w:w="120"/>
              <w:bottom w:type="dxa" w:w="80"/>
              <w:right w:type="dxa" w:w="120"/>
            </w:tcMar>
          </w:tcPr>
          <w:p>
            <w:pPr>
              <w:spacing w:after="60" w:before="60" w:line="260"/>
            </w:pPr>
            <w:r>
              <w:rPr>
                <w:sz w:val="19"/>
                <w:szCs w:val="19"/>
              </w:rPr>
              <w:t xml:space="preserve">8.3</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Refunds</w:t>
            </w:r>
          </w:p>
        </w:tc>
        <w:tc>
          <w:tcPr>
            <w:tcW w:type="dxa" w:w="6480"/>
            <w:tcMar>
              <w:top w:type="dxa" w:w="80"/>
              <w:left w:type="dxa" w:w="120"/>
              <w:bottom w:type="dxa" w:w="80"/>
              <w:right w:type="dxa" w:w="120"/>
            </w:tcMar>
          </w:tcPr>
          <w:p>
            <w:pPr>
              <w:spacing w:after="60" w:before="60" w:line="260"/>
            </w:pPr>
            <w:r>
              <w:rPr>
                <w:sz w:val="19"/>
                <w:szCs w:val="19"/>
              </w:rPr>
              <w:t xml:space="preserve">"Payment is non-refundable"; no set-off, counterclaim, deduction or withholding</w:t>
            </w:r>
          </w:p>
        </w:tc>
        <w:tc>
          <w:tcPr>
            <w:tcW w:type="dxa" w:w="1300"/>
            <w:tcMar>
              <w:top w:type="dxa" w:w="80"/>
              <w:left w:type="dxa" w:w="120"/>
              <w:bottom w:type="dxa" w:w="80"/>
              <w:right w:type="dxa" w:w="120"/>
            </w:tcMar>
          </w:tcPr>
          <w:p>
            <w:pPr>
              <w:spacing w:after="60" w:before="60" w:line="260"/>
            </w:pPr>
            <w:r>
              <w:rPr>
                <w:sz w:val="19"/>
                <w:szCs w:val="19"/>
              </w:rPr>
              <w:t xml:space="preserve">8.4</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Estimates</w:t>
            </w:r>
          </w:p>
        </w:tc>
        <w:tc>
          <w:tcPr>
            <w:tcW w:type="dxa" w:w="6480"/>
            <w:tcMar>
              <w:top w:type="dxa" w:w="80"/>
              <w:left w:type="dxa" w:w="120"/>
              <w:bottom w:type="dxa" w:w="80"/>
              <w:right w:type="dxa" w:w="120"/>
            </w:tcMar>
          </w:tcPr>
          <w:p>
            <w:pPr>
              <w:spacing w:after="60" w:before="60" w:line="260"/>
            </w:pPr>
            <w:r>
              <w:rPr>
                <w:sz w:val="19"/>
                <w:szCs w:val="19"/>
              </w:rPr>
              <w:t xml:space="preserve">Cost estimates are non-binding unless expressly agreed in writing</w:t>
            </w:r>
          </w:p>
        </w:tc>
        <w:tc>
          <w:tcPr>
            <w:tcW w:type="dxa" w:w="1300"/>
            <w:tcMar>
              <w:top w:type="dxa" w:w="80"/>
              <w:left w:type="dxa" w:w="120"/>
              <w:bottom w:type="dxa" w:w="80"/>
              <w:right w:type="dxa" w:w="120"/>
            </w:tcMar>
          </w:tcPr>
          <w:p>
            <w:pPr>
              <w:spacing w:after="60" w:before="60" w:line="260"/>
            </w:pPr>
            <w:r>
              <w:rPr>
                <w:sz w:val="19"/>
                <w:szCs w:val="19"/>
              </w:rPr>
              <w:t xml:space="preserve">8.2</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Trial phase</w:t>
            </w:r>
          </w:p>
        </w:tc>
        <w:tc>
          <w:tcPr>
            <w:tcW w:type="dxa" w:w="6480"/>
            <w:tcMar>
              <w:top w:type="dxa" w:w="80"/>
              <w:left w:type="dxa" w:w="120"/>
              <w:bottom w:type="dxa" w:w="80"/>
              <w:right w:type="dxa" w:w="120"/>
            </w:tcMar>
          </w:tcPr>
          <w:p>
            <w:pPr>
              <w:spacing w:after="60" w:before="60" w:line="260"/>
            </w:pPr>
            <w:r>
              <w:rPr>
                <w:sz w:val="19"/>
                <w:szCs w:val="19"/>
              </w:rPr>
              <w:t xml:space="preserve">Terms set in the Order Form; "As Is" and "As Available"; no binding KPIs or performance obligations; either party may opt out in writing with no exit liability</w:t>
            </w:r>
          </w:p>
        </w:tc>
        <w:tc>
          <w:tcPr>
            <w:tcW w:type="dxa" w:w="1300"/>
            <w:tcMar>
              <w:top w:type="dxa" w:w="80"/>
              <w:left w:type="dxa" w:w="120"/>
              <w:bottom w:type="dxa" w:w="80"/>
              <w:right w:type="dxa" w:w="120"/>
            </w:tcMar>
          </w:tcPr>
          <w:p>
            <w:pPr>
              <w:spacing w:after="60" w:before="60" w:line="260"/>
            </w:pPr>
            <w:r>
              <w:rPr>
                <w:sz w:val="19"/>
                <w:szCs w:val="19"/>
              </w:rPr>
              <w:t xml:space="preserve">3.1–3.6</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Liability cap</w:t>
            </w:r>
          </w:p>
        </w:tc>
        <w:tc>
          <w:tcPr>
            <w:tcW w:type="dxa" w:w="6480"/>
            <w:tcMar>
              <w:top w:type="dxa" w:w="80"/>
              <w:left w:type="dxa" w:w="120"/>
              <w:bottom w:type="dxa" w:w="80"/>
              <w:right w:type="dxa" w:w="120"/>
            </w:tcMar>
          </w:tcPr>
          <w:p>
            <w:pPr>
              <w:spacing w:after="60" w:before="60" w:line="260"/>
            </w:pPr>
            <w:r>
              <w:rPr>
                <w:sz w:val="19"/>
                <w:szCs w:val="19"/>
              </w:rPr>
              <w:t xml:space="preserve">Greater of €10,000 or 100% of fees paid in the prior 12 months; total cap never exceeds €50,000</w:t>
            </w:r>
          </w:p>
        </w:tc>
        <w:tc>
          <w:tcPr>
            <w:tcW w:type="dxa" w:w="1300"/>
            <w:tcMar>
              <w:top w:type="dxa" w:w="80"/>
              <w:left w:type="dxa" w:w="120"/>
              <w:bottom w:type="dxa" w:w="80"/>
              <w:right w:type="dxa" w:w="120"/>
            </w:tcMar>
          </w:tcPr>
          <w:p>
            <w:pPr>
              <w:spacing w:after="60" w:before="60" w:line="260"/>
            </w:pPr>
            <w:r>
              <w:rPr>
                <w:sz w:val="19"/>
                <w:szCs w:val="19"/>
              </w:rPr>
              <w:t xml:space="preserve">14.2</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Exclusions</w:t>
            </w:r>
          </w:p>
        </w:tc>
        <w:tc>
          <w:tcPr>
            <w:tcW w:type="dxa" w:w="6480"/>
            <w:tcMar>
              <w:top w:type="dxa" w:w="80"/>
              <w:left w:type="dxa" w:w="120"/>
              <w:bottom w:type="dxa" w:w="80"/>
              <w:right w:type="dxa" w:w="120"/>
            </w:tcMar>
          </w:tcPr>
          <w:p>
            <w:pPr>
              <w:spacing w:after="60" w:before="60" w:line="260"/>
            </w:pPr>
            <w:r>
              <w:rPr>
                <w:sz w:val="19"/>
                <w:szCs w:val="19"/>
              </w:rPr>
              <w:t xml:space="preserve">Indirect damages, lost profits, data loss, business interruption</w:t>
            </w:r>
          </w:p>
        </w:tc>
        <w:tc>
          <w:tcPr>
            <w:tcW w:type="dxa" w:w="1300"/>
            <w:tcMar>
              <w:top w:type="dxa" w:w="80"/>
              <w:left w:type="dxa" w:w="120"/>
              <w:bottom w:type="dxa" w:w="80"/>
              <w:right w:type="dxa" w:w="120"/>
            </w:tcMar>
          </w:tcPr>
          <w:p>
            <w:pPr>
              <w:spacing w:after="60" w:before="60" w:line="260"/>
            </w:pPr>
            <w:r>
              <w:rPr>
                <w:sz w:val="19"/>
                <w:szCs w:val="19"/>
              </w:rPr>
              <w:t xml:space="preserve">14.3</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SLA</w:t>
            </w:r>
          </w:p>
        </w:tc>
        <w:tc>
          <w:tcPr>
            <w:tcW w:type="dxa" w:w="6480"/>
            <w:tcMar>
              <w:top w:type="dxa" w:w="80"/>
              <w:left w:type="dxa" w:w="120"/>
              <w:bottom w:type="dxa" w:w="80"/>
              <w:right w:type="dxa" w:w="120"/>
            </w:tcMar>
          </w:tcPr>
          <w:p>
            <w:pPr>
              <w:spacing w:after="60" w:before="60" w:line="260"/>
            </w:pPr>
            <w:r>
              <w:rPr>
                <w:sz w:val="19"/>
                <w:szCs w:val="19"/>
              </w:rPr>
              <w:t xml:space="preserve">None. "Best efforts"; availability measured excluding preventive, corrective and adaptive maintenance</w:t>
            </w:r>
          </w:p>
        </w:tc>
        <w:tc>
          <w:tcPr>
            <w:tcW w:type="dxa" w:w="1300"/>
            <w:tcMar>
              <w:top w:type="dxa" w:w="80"/>
              <w:left w:type="dxa" w:w="120"/>
              <w:bottom w:type="dxa" w:w="80"/>
              <w:right w:type="dxa" w:w="120"/>
            </w:tcMar>
          </w:tcPr>
          <w:p>
            <w:pPr>
              <w:spacing w:after="60" w:before="60" w:line="260"/>
            </w:pPr>
            <w:r>
              <w:rPr>
                <w:sz w:val="19"/>
                <w:szCs w:val="19"/>
              </w:rPr>
              <w:t xml:space="preserve">4.4</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Service basis</w:t>
            </w:r>
          </w:p>
        </w:tc>
        <w:tc>
          <w:tcPr>
            <w:tcW w:type="dxa" w:w="6480"/>
            <w:tcMar>
              <w:top w:type="dxa" w:w="80"/>
              <w:left w:type="dxa" w:w="120"/>
              <w:bottom w:type="dxa" w:w="80"/>
              <w:right w:type="dxa" w:w="120"/>
            </w:tcMar>
          </w:tcPr>
          <w:p>
            <w:pPr>
              <w:spacing w:after="60" w:before="60" w:line="260"/>
            </w:pPr>
            <w:r>
              <w:rPr>
                <w:sz w:val="19"/>
                <w:szCs w:val="19"/>
              </w:rPr>
              <w:t xml:space="preserve">"As is" and "as available"</w:t>
            </w:r>
          </w:p>
        </w:tc>
        <w:tc>
          <w:tcPr>
            <w:tcW w:type="dxa" w:w="1300"/>
            <w:tcMar>
              <w:top w:type="dxa" w:w="80"/>
              <w:left w:type="dxa" w:w="120"/>
              <w:bottom w:type="dxa" w:w="80"/>
              <w:right w:type="dxa" w:w="120"/>
            </w:tcMar>
          </w:tcPr>
          <w:p>
            <w:pPr>
              <w:spacing w:after="60" w:before="60" w:line="260"/>
            </w:pPr>
            <w:r>
              <w:rPr>
                <w:sz w:val="19"/>
                <w:szCs w:val="19"/>
              </w:rPr>
              <w:t xml:space="preserve">4.7</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Usage limits</w:t>
            </w:r>
          </w:p>
        </w:tc>
        <w:tc>
          <w:tcPr>
            <w:tcW w:type="dxa" w:w="6480"/>
            <w:tcMar>
              <w:top w:type="dxa" w:w="80"/>
              <w:left w:type="dxa" w:w="120"/>
              <w:bottom w:type="dxa" w:w="80"/>
              <w:right w:type="dxa" w:w="120"/>
            </w:tcMar>
          </w:tcPr>
          <w:p>
            <w:pPr>
              <w:spacing w:after="60" w:before="60" w:line="260"/>
            </w:pPr>
            <w:r>
              <w:rPr>
                <w:sz w:val="19"/>
                <w:szCs w:val="19"/>
              </w:rPr>
              <w:t xml:space="preserve">Undefined; provider reserves the right to "establish new limits… including limiting the volume of data"</w:t>
            </w:r>
          </w:p>
        </w:tc>
        <w:tc>
          <w:tcPr>
            <w:tcW w:type="dxa" w:w="1300"/>
            <w:tcMar>
              <w:top w:type="dxa" w:w="80"/>
              <w:left w:type="dxa" w:w="120"/>
              <w:bottom w:type="dxa" w:w="80"/>
              <w:right w:type="dxa" w:w="120"/>
            </w:tcMar>
          </w:tcPr>
          <w:p>
            <w:pPr>
              <w:spacing w:after="60" w:before="60" w:line="260"/>
            </w:pPr>
            <w:r>
              <w:rPr>
                <w:sz w:val="19"/>
                <w:szCs w:val="19"/>
              </w:rPr>
              <w:t xml:space="preserve">5.4</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Subcontracting</w:t>
            </w:r>
          </w:p>
        </w:tc>
        <w:tc>
          <w:tcPr>
            <w:tcW w:type="dxa" w:w="6480"/>
            <w:tcMar>
              <w:top w:type="dxa" w:w="80"/>
              <w:left w:type="dxa" w:w="120"/>
              <w:bottom w:type="dxa" w:w="80"/>
              <w:right w:type="dxa" w:w="120"/>
            </w:tcMar>
          </w:tcPr>
          <w:p>
            <w:pPr>
              <w:spacing w:after="60" w:before="60" w:line="260"/>
            </w:pPr>
            <w:r>
              <w:rPr>
                <w:sz w:val="19"/>
                <w:szCs w:val="19"/>
              </w:rPr>
              <w:t xml:space="preserve">Provider may assign, sub-contract or sub-licence at any time, including multi-tier</w:t>
            </w:r>
          </w:p>
        </w:tc>
        <w:tc>
          <w:tcPr>
            <w:tcW w:type="dxa" w:w="1300"/>
            <w:tcMar>
              <w:top w:type="dxa" w:w="80"/>
              <w:left w:type="dxa" w:w="120"/>
              <w:bottom w:type="dxa" w:w="80"/>
              <w:right w:type="dxa" w:w="120"/>
            </w:tcMar>
          </w:tcPr>
          <w:p>
            <w:pPr>
              <w:spacing w:after="60" w:before="60" w:line="260"/>
            </w:pPr>
            <w:r>
              <w:rPr>
                <w:sz w:val="19"/>
                <w:szCs w:val="19"/>
              </w:rPr>
              <w:t xml:space="preserve">17.8</w:t>
            </w:r>
          </w:p>
        </w:tc>
      </w:tr>
      <w:tr>
        <w:trPr>
          <w:cantSplit/>
        </w:trPr>
        <w:tc>
          <w:tcPr>
            <w:tcW w:type="dxa" w:w="2300"/>
            <w:tcMar>
              <w:top w:type="dxa" w:w="80"/>
              <w:left w:type="dxa" w:w="120"/>
              <w:bottom w:type="dxa" w:w="80"/>
              <w:right w:type="dxa" w:w="120"/>
            </w:tcMar>
          </w:tcPr>
          <w:p>
            <w:pPr>
              <w:spacing w:after="60" w:before="60" w:line="260"/>
            </w:pPr>
            <w:r>
              <w:rPr>
                <w:sz w:val="19"/>
                <w:szCs w:val="19"/>
              </w:rPr>
              <w:t xml:space="preserve">Governing law</w:t>
            </w:r>
          </w:p>
        </w:tc>
        <w:tc>
          <w:tcPr>
            <w:tcW w:type="dxa" w:w="6480"/>
            <w:tcMar>
              <w:top w:type="dxa" w:w="80"/>
              <w:left w:type="dxa" w:w="120"/>
              <w:bottom w:type="dxa" w:w="80"/>
              <w:right w:type="dxa" w:w="120"/>
            </w:tcMar>
          </w:tcPr>
          <w:p>
            <w:pPr>
              <w:spacing w:after="60" w:before="60" w:line="260"/>
            </w:pPr>
            <w:r>
              <w:rPr>
                <w:sz w:val="19"/>
                <w:szCs w:val="19"/>
              </w:rPr>
              <w:t xml:space="preserve">Netherlands; competent court of Rotterdam</w:t>
            </w:r>
          </w:p>
        </w:tc>
        <w:tc>
          <w:tcPr>
            <w:tcW w:type="dxa" w:w="1300"/>
            <w:tcMar>
              <w:top w:type="dxa" w:w="80"/>
              <w:left w:type="dxa" w:w="120"/>
              <w:bottom w:type="dxa" w:w="80"/>
              <w:right w:type="dxa" w:w="120"/>
            </w:tcMar>
          </w:tcPr>
          <w:p>
            <w:pPr>
              <w:spacing w:after="60" w:before="60" w:line="260"/>
            </w:pPr>
            <w:r>
              <w:rPr>
                <w:sz w:val="19"/>
                <w:szCs w:val="19"/>
              </w:rPr>
              <w:t xml:space="preserve">18.1–18.2</w:t>
            </w:r>
          </w:p>
        </w:tc>
      </w:tr>
    </w:tbl>
    <w:p>
      <w:pPr>
        <w:spacing w:after="160"/>
      </w:pPr>
    </w:p>
    <w:p>
      <w:pPr>
        <w:pStyle w:val="Heading2"/>
        <w:spacing w:after="120" w:before="260"/>
      </w:pPr>
      <w:r>
        <w:t xml:space="preserve">Inferred deal size</w:t>
      </w:r>
    </w:p>
    <w:p>
      <w:pPr>
        <w:spacing w:after="140" w:line="276"/>
      </w:pPr>
      <w:r>
        <w:t xml:space="preserve">The €50,000 absolute liability ceiling is the strongest available signal. No vendor caps liability at €50,000 if typical annual contract values run into six figures — a buyer's legal team would reject it. Combined with the mid-market ICP and the stated ambition to scale </w:t>
      </w:r>
      <w:r>
        <w:rPr>
          <w:i/>
          <w:iCs/>
        </w:rPr>
        <w:t xml:space="preserve">toward</w:t>
      </w:r>
      <w:r>
        <w:t xml:space="preserve"> €MM ARR, typical annual contract value is most likely in the </w:t>
      </w:r>
      <w:r>
        <w:rPr>
          <w:b/>
          <w:bCs/>
        </w:rPr>
        <w:t xml:space="preserve">low tens of thousands of euros</w:t>
      </w:r>
      <w:r>
        <w:t xml:space="preserve">, expanding per additional Worker, workflow or location. This is a reasoned inference, not a disclosed figure.</w:t>
      </w:r>
    </w:p>
    <w:p>
      <w:pPr>
        <w:pStyle w:val="Heading2"/>
        <w:spacing w:after="120" w:before="260"/>
      </w:pPr>
      <w:r>
        <w:t xml:space="preserve">Inferred pricing unit</w:t>
      </w:r>
    </w:p>
    <w:p>
      <w:pPr>
        <w:spacing w:after="140" w:line="276"/>
      </w:pPr>
      <w:r>
        <w:t xml:space="preserve">The Terms deliberately avoid defining seats, users or volume. But the Founding Ops job spec flags account risk when "a customer wants to pause, reduce, or stop a Worker" — strongly implying per-Worker pricing, with land-and-expand across additional workflows, teams and locations.</w:t>
      </w:r>
    </w:p>
    <w:p>
      <w:pPr>
        <w:pStyle w:val="Heading2"/>
        <w:spacing w:after="120" w:before="260"/>
      </w:pPr>
      <w:r>
        <w:t xml:space="preserve">Third-party estimate (low confidence)</w:t>
      </w:r>
    </w:p>
    <w:p>
      <w:pPr>
        <w:spacing w:after="140" w:line="276"/>
      </w:pPr>
      <w:r>
        <w:t xml:space="preserve">StartupHub, an algorithmic aggregator, estimates annual revenue at approximately US$965K (range US$479K–2.7M) and valuation at approximately US$11.9M (range US$8.0–19.2M). These are modelled figures, not reported ones. 5U AI's own job posting describes scaling toward €MM ARR, implying they are currently below €1M.</w:t>
      </w:r>
    </w:p>
    <w:p>
      <w:pPr>
        <w:pStyle w:val="Heading1"/>
        <w:spacing w:after="160" w:before="360"/>
      </w:pPr>
      <w:r>
        <w:t xml:space="preserve">7. Traction and customers</w:t>
      </w:r>
    </w:p>
    <w:p>
      <w:pPr>
        <w:pStyle w:val="ListParagraph"/>
        <w:numPr>
          <w:ilvl w:val="0"/>
          <w:numId w:val="2"/>
        </w:numPr>
        <w:spacing w:after="90" w:line="276"/>
      </w:pPr>
      <w:r>
        <w:t xml:space="preserve">Founded 2025; first commercial deployments late 2025 with paying customers from the outset</w:t>
      </w:r>
    </w:p>
    <w:p>
      <w:pPr>
        <w:pStyle w:val="ListParagraph"/>
        <w:numPr>
          <w:ilvl w:val="0"/>
          <w:numId w:val="2"/>
        </w:numPr>
        <w:spacing w:after="90" w:line="276"/>
      </w:pPr>
      <w:r>
        <w:rPr>
          <w:b/>
          <w:bCs/>
        </w:rPr>
        <w:t xml:space="preserve">Paying customers across Germany, Austria and the Benelux "who renew and expand"</w:t>
      </w:r>
      <w:r>
        <w:t xml:space="preserve"> — stated in their own Founding GTM job post, the most credible traction signal publicly available</w:t>
      </w:r>
    </w:p>
    <w:p>
      <w:pPr>
        <w:pStyle w:val="ListParagraph"/>
        <w:numPr>
          <w:ilvl w:val="0"/>
          <w:numId w:val="2"/>
        </w:numPr>
        <w:spacing w:after="90" w:line="276"/>
      </w:pPr>
      <w:r>
        <w:t xml:space="preserve">Named customer: TCI International Logistics, using AI Workers across air and ocean freight</w:t>
      </w:r>
    </w:p>
    <w:p>
      <w:pPr>
        <w:pStyle w:val="ListParagraph"/>
        <w:numPr>
          <w:ilvl w:val="0"/>
          <w:numId w:val="2"/>
        </w:numPr>
        <w:spacing w:after="90" w:line="276"/>
      </w:pPr>
      <w:r>
        <w:t xml:space="preserve">ICP: mid-sized European forwarders of 100–500 employees; job specs widen this to freight forwarders, carriers and 3PLs</w:t>
      </w:r>
    </w:p>
    <w:p>
      <w:pPr>
        <w:pStyle w:val="ListParagraph"/>
        <w:numPr>
          <w:ilvl w:val="0"/>
          <w:numId w:val="2"/>
        </w:numPr>
        <w:spacing w:after="90" w:line="276"/>
      </w:pPr>
      <w:r>
        <w:t xml:space="preserve">Quotation response rates have more than doubled within weeks at selected clients</w:t>
      </w:r>
    </w:p>
    <w:p>
      <w:pPr>
        <w:pStyle w:val="ListParagraph"/>
        <w:numPr>
          <w:ilvl w:val="0"/>
          <w:numId w:val="2"/>
        </w:numPr>
        <w:spacing w:after="90" w:line="276"/>
      </w:pPr>
      <w:r>
        <w:t xml:space="preserve">Zero marketing spend to date; no SDR or marketing engine yet; sales is entirely founder-led — which the Founding GTM hire is explicitly meant to fix</w:t>
      </w:r>
    </w:p>
    <w:p>
      <w:pPr>
        <w:spacing w:after="160"/>
      </w:pPr>
    </w:p>
    <w:p>
      <w:pPr>
        <w:pStyle w:val="Heading2"/>
        <w:spacing w:after="120" w:before="260"/>
      </w:pPr>
      <w:r>
        <w:t xml:space="preserve">Customer testimonials (all anonymised on the site)</w:t>
      </w:r>
    </w:p>
    <w:p>
      <w:pPr>
        <w:spacing w:after="40" w:before="120" w:line="276"/>
        <w:ind w:left="360"/>
      </w:pPr>
      <w:r>
        <w:rPr>
          <w:i/>
          <w:iCs/>
        </w:rPr>
        <w:t xml:space="preserve">"Not only us, but our customer are extremely happy because we are now able to provide them updates in real-time."</w:t>
      </w:r>
    </w:p>
    <w:p>
      <w:pPr>
        <w:spacing w:after="100"/>
        <w:ind w:left="360"/>
      </w:pPr>
      <w:r>
        <w:rPr>
          <w:color w:val="5A5A5A"/>
          <w:sz w:val="19"/>
          <w:szCs w:val="19"/>
        </w:rPr>
        <w:t xml:space="preserve">— Director of Logistics @ Mid-sized Freight Forwarder</w:t>
      </w:r>
    </w:p>
    <w:p>
      <w:pPr>
        <w:spacing w:after="40" w:before="120" w:line="276"/>
        <w:ind w:left="360"/>
      </w:pPr>
      <w:r>
        <w:rPr>
          <w:i/>
          <w:iCs/>
        </w:rPr>
        <w:t xml:space="preserve">"I see what 5U AI is doing is where I imagine the future is going to. On point."</w:t>
      </w:r>
    </w:p>
    <w:p>
      <w:pPr>
        <w:spacing w:after="100"/>
        <w:ind w:left="360"/>
      </w:pPr>
      <w:r>
        <w:rPr>
          <w:color w:val="5A5A5A"/>
          <w:sz w:val="19"/>
          <w:szCs w:val="19"/>
        </w:rPr>
        <w:t xml:space="preserve">— Managing Director @ European Logistics Company</w:t>
      </w:r>
    </w:p>
    <w:p>
      <w:pPr>
        <w:spacing w:after="40" w:before="120" w:line="276"/>
        <w:ind w:left="360"/>
      </w:pPr>
      <w:r>
        <w:rPr>
          <w:i/>
          <w:iCs/>
        </w:rPr>
        <w:t xml:space="preserve">"AI workers picked up our SOPs fast and handles the variations. My team only gets pinged for true exceptions."</w:t>
      </w:r>
    </w:p>
    <w:p>
      <w:pPr>
        <w:spacing w:after="100"/>
        <w:ind w:left="360"/>
      </w:pPr>
      <w:r>
        <w:rPr>
          <w:color w:val="5A5A5A"/>
          <w:sz w:val="19"/>
          <w:szCs w:val="19"/>
        </w:rPr>
        <w:t xml:space="preserve">— Business Development Manager @ European Forwarder</w:t>
      </w:r>
    </w:p>
    <w:p>
      <w:pPr>
        <w:spacing w:after="40" w:before="120" w:line="276"/>
        <w:ind w:left="360"/>
      </w:pPr>
      <w:r>
        <w:rPr>
          <w:i/>
          <w:iCs/>
        </w:rPr>
        <w:t xml:space="preserve">"Speed matters in our business. From the email flood we get, it was not always possible to answer customer quickly. We will have that ability now."</w:t>
      </w:r>
    </w:p>
    <w:p>
      <w:pPr>
        <w:spacing w:after="100"/>
        <w:ind w:left="360"/>
      </w:pPr>
      <w:r>
        <w:rPr>
          <w:color w:val="5A5A5A"/>
          <w:sz w:val="19"/>
          <w:szCs w:val="19"/>
        </w:rPr>
        <w:t xml:space="preserve">— Managing Director @ Mid-sized European Logistics Company</w:t>
      </w:r>
    </w:p>
    <w:p>
      <w:pPr>
        <w:pStyle w:val="Heading1"/>
        <w:spacing w:after="160" w:before="360"/>
      </w:pPr>
      <w:r>
        <w:t xml:space="preserve">8. Technology stack and subprocessors</w:t>
      </w:r>
    </w:p>
    <w:p>
      <w:pPr>
        <w:spacing w:after="140" w:line="276"/>
      </w:pPr>
      <w:r>
        <w:t xml:space="preserve">The Data Processing Agreement names every subprocessor, which effectively publishes the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5680"/>
        <w:gridCol w:w="2500"/>
      </w:tblGrid>
      <w:tr>
        <w:trPr>
          <w:cantSplit/>
          <w:tblHeader/>
        </w:trPr>
        <w:tc>
          <w:tcPr>
            <w:tcW w:type="dxa" w:w="1900"/>
            <w:shd w:fill="EDEAE4" w:color="auto" w:val="clear"/>
            <w:tcMar>
              <w:top w:type="dxa" w:w="80"/>
              <w:left w:type="dxa" w:w="120"/>
              <w:bottom w:type="dxa" w:w="80"/>
              <w:right w:type="dxa" w:w="120"/>
            </w:tcMar>
          </w:tcPr>
          <w:p>
            <w:pPr>
              <w:spacing w:after="60" w:before="60" w:line="260"/>
            </w:pPr>
            <w:r>
              <w:rPr>
                <w:b/>
                <w:bCs/>
                <w:sz w:val="19"/>
                <w:szCs w:val="19"/>
              </w:rPr>
              <w:t xml:space="preserve">Vendor</w:t>
            </w:r>
          </w:p>
        </w:tc>
        <w:tc>
          <w:tcPr>
            <w:tcW w:type="dxa" w:w="5680"/>
            <w:shd w:fill="EDEAE4" w:color="auto" w:val="clear"/>
            <w:tcMar>
              <w:top w:type="dxa" w:w="80"/>
              <w:left w:type="dxa" w:w="120"/>
              <w:bottom w:type="dxa" w:w="80"/>
              <w:right w:type="dxa" w:w="120"/>
            </w:tcMar>
          </w:tcPr>
          <w:p>
            <w:pPr>
              <w:spacing w:after="60" w:before="60" w:line="260"/>
            </w:pPr>
            <w:r>
              <w:rPr>
                <w:b/>
                <w:bCs/>
                <w:sz w:val="19"/>
                <w:szCs w:val="19"/>
              </w:rPr>
              <w:t xml:space="preserve">Purpose (verbatim)</w:t>
            </w:r>
          </w:p>
        </w:tc>
        <w:tc>
          <w:tcPr>
            <w:tcW w:type="dxa" w:w="2500"/>
            <w:shd w:fill="EDEAE4" w:color="auto" w:val="clear"/>
            <w:tcMar>
              <w:top w:type="dxa" w:w="80"/>
              <w:left w:type="dxa" w:w="120"/>
              <w:bottom w:type="dxa" w:w="80"/>
              <w:right w:type="dxa" w:w="120"/>
            </w:tcMar>
          </w:tcPr>
          <w:p>
            <w:pPr>
              <w:spacing w:after="60" w:before="60" w:line="260"/>
            </w:pPr>
            <w:r>
              <w:rPr>
                <w:b/>
                <w:bCs/>
                <w:sz w:val="19"/>
                <w:szCs w:val="19"/>
              </w:rPr>
              <w:t xml:space="preserve">Location</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Northflank</w:t>
            </w:r>
          </w:p>
        </w:tc>
        <w:tc>
          <w:tcPr>
            <w:tcW w:type="dxa" w:w="5680"/>
            <w:tcMar>
              <w:top w:type="dxa" w:w="80"/>
              <w:left w:type="dxa" w:w="120"/>
              <w:bottom w:type="dxa" w:w="80"/>
              <w:right w:type="dxa" w:w="120"/>
            </w:tcMar>
          </w:tcPr>
          <w:p>
            <w:pPr>
              <w:spacing w:after="60" w:before="60" w:line="260"/>
            </w:pPr>
            <w:r>
              <w:rPr>
                <w:sz w:val="19"/>
                <w:szCs w:val="19"/>
              </w:rPr>
              <w:t xml:space="preserve">Cloud hosting and deployment platform</w:t>
            </w:r>
          </w:p>
        </w:tc>
        <w:tc>
          <w:tcPr>
            <w:tcW w:type="dxa" w:w="2500"/>
            <w:tcMar>
              <w:top w:type="dxa" w:w="80"/>
              <w:left w:type="dxa" w:w="120"/>
              <w:bottom w:type="dxa" w:w="80"/>
              <w:right w:type="dxa" w:w="120"/>
            </w:tcMar>
          </w:tcPr>
          <w:p>
            <w:pPr>
              <w:spacing w:after="60" w:before="60" w:line="260"/>
            </w:pPr>
            <w:r>
              <w:rPr>
                <w:sz w:val="19"/>
                <w:szCs w:val="19"/>
              </w:rPr>
              <w:t xml:space="preserve">Germany</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Google Cloud</w:t>
            </w:r>
          </w:p>
        </w:tc>
        <w:tc>
          <w:tcPr>
            <w:tcW w:type="dxa" w:w="5680"/>
            <w:tcMar>
              <w:top w:type="dxa" w:w="80"/>
              <w:left w:type="dxa" w:w="120"/>
              <w:bottom w:type="dxa" w:w="80"/>
              <w:right w:type="dxa" w:w="120"/>
            </w:tcMar>
          </w:tcPr>
          <w:p>
            <w:pPr>
              <w:spacing w:after="60" w:before="60" w:line="260"/>
            </w:pPr>
            <w:r>
              <w:rPr>
                <w:sz w:val="19"/>
                <w:szCs w:val="19"/>
              </w:rPr>
              <w:t xml:space="preserve">Cloud infrastructure, analytics, storage, AI model provision and inference services</w:t>
            </w:r>
          </w:p>
        </w:tc>
        <w:tc>
          <w:tcPr>
            <w:tcW w:type="dxa" w:w="2500"/>
            <w:tcMar>
              <w:top w:type="dxa" w:w="80"/>
              <w:left w:type="dxa" w:w="120"/>
              <w:bottom w:type="dxa" w:w="80"/>
              <w:right w:type="dxa" w:w="120"/>
            </w:tcMar>
          </w:tcPr>
          <w:p>
            <w:pPr>
              <w:spacing w:after="60" w:before="60" w:line="260"/>
            </w:pPr>
            <w:r>
              <w:rPr>
                <w:sz w:val="19"/>
                <w:szCs w:val="19"/>
              </w:rPr>
              <w:t xml:space="preserve">Germany and United States</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OpenAI</w:t>
            </w:r>
          </w:p>
        </w:tc>
        <w:tc>
          <w:tcPr>
            <w:tcW w:type="dxa" w:w="5680"/>
            <w:tcMar>
              <w:top w:type="dxa" w:w="80"/>
              <w:left w:type="dxa" w:w="120"/>
              <w:bottom w:type="dxa" w:w="80"/>
              <w:right w:type="dxa" w:w="120"/>
            </w:tcMar>
          </w:tcPr>
          <w:p>
            <w:pPr>
              <w:spacing w:after="60" w:before="60" w:line="260"/>
            </w:pPr>
            <w:r>
              <w:rPr>
                <w:sz w:val="19"/>
                <w:szCs w:val="19"/>
              </w:rPr>
              <w:t xml:space="preserve">AI model provision, hosting and inference services</w:t>
            </w:r>
          </w:p>
        </w:tc>
        <w:tc>
          <w:tcPr>
            <w:tcW w:type="dxa" w:w="2500"/>
            <w:tcMar>
              <w:top w:type="dxa" w:w="80"/>
              <w:left w:type="dxa" w:w="120"/>
              <w:bottom w:type="dxa" w:w="80"/>
              <w:right w:type="dxa" w:w="120"/>
            </w:tcMar>
          </w:tcPr>
          <w:p>
            <w:pPr>
              <w:spacing w:after="60" w:before="60" w:line="260"/>
            </w:pPr>
            <w:r>
              <w:rPr>
                <w:sz w:val="19"/>
                <w:szCs w:val="19"/>
              </w:rPr>
              <w:t xml:space="preserve">United States</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Anthropic</w:t>
            </w:r>
          </w:p>
        </w:tc>
        <w:tc>
          <w:tcPr>
            <w:tcW w:type="dxa" w:w="5680"/>
            <w:tcMar>
              <w:top w:type="dxa" w:w="80"/>
              <w:left w:type="dxa" w:w="120"/>
              <w:bottom w:type="dxa" w:w="80"/>
              <w:right w:type="dxa" w:w="120"/>
            </w:tcMar>
          </w:tcPr>
          <w:p>
            <w:pPr>
              <w:spacing w:after="60" w:before="60" w:line="260"/>
            </w:pPr>
            <w:r>
              <w:rPr>
                <w:sz w:val="19"/>
                <w:szCs w:val="19"/>
              </w:rPr>
              <w:t xml:space="preserve">AI model provision services and inference services</w:t>
            </w:r>
          </w:p>
        </w:tc>
        <w:tc>
          <w:tcPr>
            <w:tcW w:type="dxa" w:w="2500"/>
            <w:tcMar>
              <w:top w:type="dxa" w:w="80"/>
              <w:left w:type="dxa" w:w="120"/>
              <w:bottom w:type="dxa" w:w="80"/>
              <w:right w:type="dxa" w:w="120"/>
            </w:tcMar>
          </w:tcPr>
          <w:p>
            <w:pPr>
              <w:spacing w:after="60" w:before="60" w:line="260"/>
            </w:pPr>
            <w:r>
              <w:rPr>
                <w:sz w:val="19"/>
                <w:szCs w:val="19"/>
              </w:rPr>
              <w:t xml:space="preserve">United States</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Mistral</w:t>
            </w:r>
          </w:p>
        </w:tc>
        <w:tc>
          <w:tcPr>
            <w:tcW w:type="dxa" w:w="5680"/>
            <w:tcMar>
              <w:top w:type="dxa" w:w="80"/>
              <w:left w:type="dxa" w:w="120"/>
              <w:bottom w:type="dxa" w:w="80"/>
              <w:right w:type="dxa" w:w="120"/>
            </w:tcMar>
          </w:tcPr>
          <w:p>
            <w:pPr>
              <w:spacing w:after="60" w:before="60" w:line="260"/>
            </w:pPr>
            <w:r>
              <w:rPr>
                <w:sz w:val="19"/>
                <w:szCs w:val="19"/>
              </w:rPr>
              <w:t xml:space="preserve">AI model provision, hosting and inference services</w:t>
            </w:r>
          </w:p>
        </w:tc>
        <w:tc>
          <w:tcPr>
            <w:tcW w:type="dxa" w:w="2500"/>
            <w:tcMar>
              <w:top w:type="dxa" w:w="80"/>
              <w:left w:type="dxa" w:w="120"/>
              <w:bottom w:type="dxa" w:w="80"/>
              <w:right w:type="dxa" w:w="120"/>
            </w:tcMar>
          </w:tcPr>
          <w:p>
            <w:pPr>
              <w:spacing w:after="60" w:before="60" w:line="260"/>
            </w:pPr>
            <w:r>
              <w:rPr>
                <w:sz w:val="19"/>
                <w:szCs w:val="19"/>
              </w:rPr>
              <w:t xml:space="preserve">France</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Hugging Face</w:t>
            </w:r>
          </w:p>
        </w:tc>
        <w:tc>
          <w:tcPr>
            <w:tcW w:type="dxa" w:w="5680"/>
            <w:tcMar>
              <w:top w:type="dxa" w:w="80"/>
              <w:left w:type="dxa" w:w="120"/>
              <w:bottom w:type="dxa" w:w="80"/>
              <w:right w:type="dxa" w:w="120"/>
            </w:tcMar>
          </w:tcPr>
          <w:p>
            <w:pPr>
              <w:spacing w:after="60" w:before="60" w:line="260"/>
            </w:pPr>
            <w:r>
              <w:rPr>
                <w:sz w:val="19"/>
                <w:szCs w:val="19"/>
              </w:rPr>
              <w:t xml:space="preserve">LLM testing, fine-tuning, and use of hosted models</w:t>
            </w:r>
          </w:p>
        </w:tc>
        <w:tc>
          <w:tcPr>
            <w:tcW w:type="dxa" w:w="2500"/>
            <w:tcMar>
              <w:top w:type="dxa" w:w="80"/>
              <w:left w:type="dxa" w:w="120"/>
              <w:bottom w:type="dxa" w:w="80"/>
              <w:right w:type="dxa" w:w="120"/>
            </w:tcMar>
          </w:tcPr>
          <w:p>
            <w:pPr>
              <w:spacing w:after="60" w:before="60" w:line="260"/>
            </w:pPr>
            <w:r>
              <w:rPr>
                <w:sz w:val="19"/>
                <w:szCs w:val="19"/>
              </w:rPr>
              <w:t xml:space="preserve">European Union and United States</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Langfuse</w:t>
            </w:r>
          </w:p>
        </w:tc>
        <w:tc>
          <w:tcPr>
            <w:tcW w:type="dxa" w:w="5680"/>
            <w:tcMar>
              <w:top w:type="dxa" w:w="80"/>
              <w:left w:type="dxa" w:w="120"/>
              <w:bottom w:type="dxa" w:w="80"/>
              <w:right w:type="dxa" w:w="120"/>
            </w:tcMar>
          </w:tcPr>
          <w:p>
            <w:pPr>
              <w:spacing w:after="60" w:before="60" w:line="260"/>
            </w:pPr>
            <w:r>
              <w:rPr>
                <w:sz w:val="19"/>
                <w:szCs w:val="19"/>
              </w:rPr>
              <w:t xml:space="preserve">LLM observability and analytics platform</w:t>
            </w:r>
          </w:p>
        </w:tc>
        <w:tc>
          <w:tcPr>
            <w:tcW w:type="dxa" w:w="2500"/>
            <w:tcMar>
              <w:top w:type="dxa" w:w="80"/>
              <w:left w:type="dxa" w:w="120"/>
              <w:bottom w:type="dxa" w:w="80"/>
              <w:right w:type="dxa" w:w="120"/>
            </w:tcMar>
          </w:tcPr>
          <w:p>
            <w:pPr>
              <w:spacing w:after="60" w:before="60" w:line="260"/>
            </w:pPr>
            <w:r>
              <w:rPr>
                <w:sz w:val="19"/>
                <w:szCs w:val="19"/>
              </w:rPr>
              <w:t xml:space="preserve">Germany</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Sentry</w:t>
            </w:r>
          </w:p>
        </w:tc>
        <w:tc>
          <w:tcPr>
            <w:tcW w:type="dxa" w:w="5680"/>
            <w:tcMar>
              <w:top w:type="dxa" w:w="80"/>
              <w:left w:type="dxa" w:w="120"/>
              <w:bottom w:type="dxa" w:w="80"/>
              <w:right w:type="dxa" w:w="120"/>
            </w:tcMar>
          </w:tcPr>
          <w:p>
            <w:pPr>
              <w:spacing w:after="60" w:before="60" w:line="260"/>
            </w:pPr>
            <w:r>
              <w:rPr>
                <w:sz w:val="19"/>
                <w:szCs w:val="19"/>
              </w:rPr>
              <w:t xml:space="preserve">Application monitoring and error tracking</w:t>
            </w:r>
          </w:p>
        </w:tc>
        <w:tc>
          <w:tcPr>
            <w:tcW w:type="dxa" w:w="2500"/>
            <w:tcMar>
              <w:top w:type="dxa" w:w="80"/>
              <w:left w:type="dxa" w:w="120"/>
              <w:bottom w:type="dxa" w:w="80"/>
              <w:right w:type="dxa" w:w="120"/>
            </w:tcMar>
          </w:tcPr>
          <w:p>
            <w:pPr>
              <w:spacing w:after="60" w:before="60" w:line="260"/>
            </w:pPr>
            <w:r>
              <w:rPr>
                <w:sz w:val="19"/>
                <w:szCs w:val="19"/>
              </w:rPr>
              <w:t xml:space="preserve">Germany</w:t>
            </w:r>
          </w:p>
        </w:tc>
      </w:tr>
      <w:tr>
        <w:trPr>
          <w:cantSplit/>
        </w:trPr>
        <w:tc>
          <w:tcPr>
            <w:tcW w:type="dxa" w:w="1900"/>
            <w:tcMar>
              <w:top w:type="dxa" w:w="80"/>
              <w:left w:type="dxa" w:w="120"/>
              <w:bottom w:type="dxa" w:w="80"/>
              <w:right w:type="dxa" w:w="120"/>
            </w:tcMar>
          </w:tcPr>
          <w:p>
            <w:pPr>
              <w:spacing w:after="60" w:before="60" w:line="260"/>
            </w:pPr>
            <w:r>
              <w:rPr>
                <w:sz w:val="19"/>
                <w:szCs w:val="19"/>
              </w:rPr>
              <w:t xml:space="preserve">Slack</w:t>
            </w:r>
          </w:p>
        </w:tc>
        <w:tc>
          <w:tcPr>
            <w:tcW w:type="dxa" w:w="5680"/>
            <w:tcMar>
              <w:top w:type="dxa" w:w="80"/>
              <w:left w:type="dxa" w:w="120"/>
              <w:bottom w:type="dxa" w:w="80"/>
              <w:right w:type="dxa" w:w="120"/>
            </w:tcMar>
          </w:tcPr>
          <w:p>
            <w:pPr>
              <w:spacing w:after="60" w:before="60" w:line="260"/>
            </w:pPr>
            <w:r>
              <w:rPr>
                <w:sz w:val="19"/>
                <w:szCs w:val="19"/>
              </w:rPr>
              <w:t xml:space="preserve">Internal communication and team collaboration</w:t>
            </w:r>
          </w:p>
        </w:tc>
        <w:tc>
          <w:tcPr>
            <w:tcW w:type="dxa" w:w="2500"/>
            <w:tcMar>
              <w:top w:type="dxa" w:w="80"/>
              <w:left w:type="dxa" w:w="120"/>
              <w:bottom w:type="dxa" w:w="80"/>
              <w:right w:type="dxa" w:w="120"/>
            </w:tcMar>
          </w:tcPr>
          <w:p>
            <w:pPr>
              <w:spacing w:after="60" w:before="60" w:line="260"/>
            </w:pPr>
            <w:r>
              <w:rPr>
                <w:sz w:val="19"/>
                <w:szCs w:val="19"/>
              </w:rPr>
              <w:t xml:space="preserve">United States</w:t>
            </w:r>
          </w:p>
        </w:tc>
      </w:tr>
    </w:tbl>
    <w:p>
      <w:pPr>
        <w:spacing w:after="160"/>
      </w:pPr>
    </w:p>
    <w:p>
      <w:pPr>
        <w:spacing w:after="140" w:line="276"/>
      </w:pPr>
      <w:r>
        <w:rPr>
          <w:b/>
          <w:bCs/>
        </w:rPr>
        <w:t xml:space="preserve">Technical and organisational measures (Schedule 2): </w:t>
      </w:r>
      <w:r>
        <w:t xml:space="preserve">encryption in transit and at rest; least-privilege role-based access; audit logging; tenant isolation; key management; vulnerability management; secure SDLC; incident response.</w:t>
      </w:r>
    </w:p>
    <w:p>
      <w:pPr>
        <w:spacing w:after="140" w:line="276"/>
      </w:pPr>
      <w:r>
        <w:rPr>
          <w:b/>
          <w:bCs/>
        </w:rPr>
        <w:t xml:space="preserve">Data retention: </w:t>
      </w:r>
      <w:r>
        <w:t xml:space="preserve">default 30 days, configurable per tenant. International transfers rely on Standard Contractual Clauses Module 2 (controller-to-processor) and Module 3 (processor-to-processor).</w:t>
      </w:r>
    </w:p>
    <w:p>
      <w:pPr>
        <w:spacing w:after="140" w:line="276"/>
      </w:pPr>
      <w:r>
        <w:rPr>
          <w:b/>
          <w:bCs/>
        </w:rPr>
        <w:t xml:space="preserve">Engineering stack (from job specs): </w:t>
      </w:r>
      <w:r>
        <w:t xml:space="preserve">Python with FastAPI, JavaScript/TypeScript, SQL, REST APIs, Docker, CI/CD, cloud infrastructure and monitoring. Production concerns named explicitly: evaluations, tracing, feedback loops, guardrails, retries, fallbacks, idempotency, concurrency, background jobs and human escalation. They are also developing specialised small models for narrow tasks.</w:t>
      </w:r>
    </w:p>
    <w:p>
      <w:pPr>
        <w:pStyle w:val="Heading1"/>
        <w:spacing w:after="160" w:before="360"/>
      </w:pPr>
      <w:r>
        <w:t xml:space="preserve">9. Team and hiring</w:t>
      </w:r>
    </w:p>
    <w:p>
      <w:pPr>
        <w:spacing w:after="140" w:line="276"/>
      </w:pPr>
      <w:r>
        <w:t xml:space="preserve">Seven people today, with seven open roles — an immediate doubling. All positions are Munich-based, onsite or hybrid, with the posts stating plainly: "This isn't a 9-to-5."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380"/>
        <w:gridCol w:w="2500"/>
      </w:tblGrid>
      <w:tr>
        <w:trPr>
          <w:cantSplit/>
          <w:tblHeader/>
        </w:trPr>
        <w:tc>
          <w:tcPr>
            <w:tcW w:type="dxa" w:w="2200"/>
            <w:shd w:fill="EDEAE4" w:color="auto" w:val="clear"/>
            <w:tcMar>
              <w:top w:type="dxa" w:w="80"/>
              <w:left w:type="dxa" w:w="120"/>
              <w:bottom w:type="dxa" w:w="80"/>
              <w:right w:type="dxa" w:w="120"/>
            </w:tcMar>
          </w:tcPr>
          <w:p>
            <w:pPr>
              <w:spacing w:after="60" w:before="60" w:line="260"/>
            </w:pPr>
            <w:r>
              <w:rPr>
                <w:b/>
                <w:bCs/>
                <w:sz w:val="19"/>
                <w:szCs w:val="19"/>
              </w:rPr>
              <w:t xml:space="preserve">Function</w:t>
            </w:r>
          </w:p>
        </w:tc>
        <w:tc>
          <w:tcPr>
            <w:tcW w:type="dxa" w:w="5380"/>
            <w:shd w:fill="EDEAE4" w:color="auto" w:val="clear"/>
            <w:tcMar>
              <w:top w:type="dxa" w:w="80"/>
              <w:left w:type="dxa" w:w="120"/>
              <w:bottom w:type="dxa" w:w="80"/>
              <w:right w:type="dxa" w:w="120"/>
            </w:tcMar>
          </w:tcPr>
          <w:p>
            <w:pPr>
              <w:spacing w:after="60" w:before="60" w:line="260"/>
            </w:pPr>
            <w:r>
              <w:rPr>
                <w:b/>
                <w:bCs/>
                <w:sz w:val="19"/>
                <w:szCs w:val="19"/>
              </w:rPr>
              <w:t xml:space="preserve">Role</w:t>
            </w:r>
          </w:p>
        </w:tc>
        <w:tc>
          <w:tcPr>
            <w:tcW w:type="dxa" w:w="2500"/>
            <w:shd w:fill="EDEAE4" w:color="auto" w:val="clear"/>
            <w:tcMar>
              <w:top w:type="dxa" w:w="80"/>
              <w:left w:type="dxa" w:w="120"/>
              <w:bottom w:type="dxa" w:w="80"/>
              <w:right w:type="dxa" w:w="120"/>
            </w:tcMar>
          </w:tcPr>
          <w:p>
            <w:pPr>
              <w:spacing w:after="60" w:before="60" w:line="260"/>
            </w:pPr>
            <w:r>
              <w:rPr>
                <w:b/>
                <w:bCs/>
                <w:sz w:val="19"/>
                <w:szCs w:val="19"/>
              </w:rPr>
              <w:t xml:space="preserve">Location</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Engineering</w:t>
            </w:r>
          </w:p>
        </w:tc>
        <w:tc>
          <w:tcPr>
            <w:tcW w:type="dxa" w:w="5380"/>
            <w:tcMar>
              <w:top w:type="dxa" w:w="80"/>
              <w:left w:type="dxa" w:w="120"/>
              <w:bottom w:type="dxa" w:w="80"/>
              <w:right w:type="dxa" w:w="120"/>
            </w:tcMar>
          </w:tcPr>
          <w:p>
            <w:pPr>
              <w:spacing w:after="60" w:before="60" w:line="260"/>
            </w:pPr>
            <w:r>
              <w:rPr>
                <w:sz w:val="19"/>
                <w:szCs w:val="19"/>
              </w:rPr>
              <w:t xml:space="preserve">Forward Deployed Engineer (German-speaking)</w:t>
            </w:r>
          </w:p>
        </w:tc>
        <w:tc>
          <w:tcPr>
            <w:tcW w:type="dxa" w:w="2500"/>
            <w:tcMar>
              <w:top w:type="dxa" w:w="80"/>
              <w:left w:type="dxa" w:w="120"/>
              <w:bottom w:type="dxa" w:w="80"/>
              <w:right w:type="dxa" w:w="120"/>
            </w:tcMar>
          </w:tcPr>
          <w:p>
            <w:pPr>
              <w:spacing w:after="60" w:before="60" w:line="260"/>
            </w:pPr>
            <w:r>
              <w:rPr>
                <w:sz w:val="19"/>
                <w:szCs w:val="19"/>
              </w:rPr>
              <w:t xml:space="preserve">Onsite, Munich</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Engineering</w:t>
            </w:r>
          </w:p>
        </w:tc>
        <w:tc>
          <w:tcPr>
            <w:tcW w:type="dxa" w:w="5380"/>
            <w:tcMar>
              <w:top w:type="dxa" w:w="80"/>
              <w:left w:type="dxa" w:w="120"/>
              <w:bottom w:type="dxa" w:w="80"/>
              <w:right w:type="dxa" w:w="120"/>
            </w:tcMar>
          </w:tcPr>
          <w:p>
            <w:pPr>
              <w:spacing w:after="60" w:before="60" w:line="260"/>
            </w:pPr>
            <w:r>
              <w:rPr>
                <w:sz w:val="19"/>
                <w:szCs w:val="19"/>
              </w:rPr>
              <w:t xml:space="preserve">Founding AI Engineer</w:t>
            </w:r>
          </w:p>
        </w:tc>
        <w:tc>
          <w:tcPr>
            <w:tcW w:type="dxa" w:w="2500"/>
            <w:tcMar>
              <w:top w:type="dxa" w:w="80"/>
              <w:left w:type="dxa" w:w="120"/>
              <w:bottom w:type="dxa" w:w="80"/>
              <w:right w:type="dxa" w:w="120"/>
            </w:tcMar>
          </w:tcPr>
          <w:p>
            <w:pPr>
              <w:spacing w:after="60" w:before="60" w:line="260"/>
            </w:pPr>
            <w:r>
              <w:rPr>
                <w:sz w:val="19"/>
                <w:szCs w:val="19"/>
              </w:rPr>
              <w:t xml:space="preserve">Onsite, Munich</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Engineering</w:t>
            </w:r>
          </w:p>
        </w:tc>
        <w:tc>
          <w:tcPr>
            <w:tcW w:type="dxa" w:w="5380"/>
            <w:tcMar>
              <w:top w:type="dxa" w:w="80"/>
              <w:left w:type="dxa" w:w="120"/>
              <w:bottom w:type="dxa" w:w="80"/>
              <w:right w:type="dxa" w:w="120"/>
            </w:tcMar>
          </w:tcPr>
          <w:p>
            <w:pPr>
              <w:spacing w:after="60" w:before="60" w:line="260"/>
            </w:pPr>
            <w:r>
              <w:rPr>
                <w:sz w:val="19"/>
                <w:szCs w:val="19"/>
              </w:rPr>
              <w:t xml:space="preserve">Full-Stack AI Engineer</w:t>
            </w:r>
          </w:p>
        </w:tc>
        <w:tc>
          <w:tcPr>
            <w:tcW w:type="dxa" w:w="2500"/>
            <w:tcMar>
              <w:top w:type="dxa" w:w="80"/>
              <w:left w:type="dxa" w:w="120"/>
              <w:bottom w:type="dxa" w:w="80"/>
              <w:right w:type="dxa" w:w="120"/>
            </w:tcMar>
          </w:tcPr>
          <w:p>
            <w:pPr>
              <w:spacing w:after="60" w:before="60" w:line="260"/>
            </w:pPr>
            <w:r>
              <w:rPr>
                <w:sz w:val="19"/>
                <w:szCs w:val="19"/>
              </w:rPr>
              <w:t xml:space="preserve">Hybrid, Munich</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Go-to-Market</w:t>
            </w:r>
          </w:p>
        </w:tc>
        <w:tc>
          <w:tcPr>
            <w:tcW w:type="dxa" w:w="5380"/>
            <w:tcMar>
              <w:top w:type="dxa" w:w="80"/>
              <w:left w:type="dxa" w:w="120"/>
              <w:bottom w:type="dxa" w:w="80"/>
              <w:right w:type="dxa" w:w="120"/>
            </w:tcMar>
          </w:tcPr>
          <w:p>
            <w:pPr>
              <w:spacing w:after="60" w:before="60" w:line="260"/>
            </w:pPr>
            <w:r>
              <w:rPr>
                <w:sz w:val="19"/>
                <w:szCs w:val="19"/>
              </w:rPr>
              <w:t xml:space="preserve">Founding GTM</w:t>
            </w:r>
          </w:p>
        </w:tc>
        <w:tc>
          <w:tcPr>
            <w:tcW w:type="dxa" w:w="2500"/>
            <w:tcMar>
              <w:top w:type="dxa" w:w="80"/>
              <w:left w:type="dxa" w:w="120"/>
              <w:bottom w:type="dxa" w:w="80"/>
              <w:right w:type="dxa" w:w="120"/>
            </w:tcMar>
          </w:tcPr>
          <w:p>
            <w:pPr>
              <w:spacing w:after="60" w:before="60" w:line="260"/>
            </w:pPr>
            <w:r>
              <w:rPr>
                <w:sz w:val="19"/>
                <w:szCs w:val="19"/>
              </w:rPr>
              <w:t xml:space="preserve">Onsite, Munich</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Go-to-Market</w:t>
            </w:r>
          </w:p>
        </w:tc>
        <w:tc>
          <w:tcPr>
            <w:tcW w:type="dxa" w:w="5380"/>
            <w:tcMar>
              <w:top w:type="dxa" w:w="80"/>
              <w:left w:type="dxa" w:w="120"/>
              <w:bottom w:type="dxa" w:w="80"/>
              <w:right w:type="dxa" w:w="120"/>
            </w:tcMar>
          </w:tcPr>
          <w:p>
            <w:pPr>
              <w:spacing w:after="60" w:before="60" w:line="260"/>
            </w:pPr>
            <w:r>
              <w:rPr>
                <w:sz w:val="19"/>
                <w:szCs w:val="19"/>
              </w:rPr>
              <w:t xml:space="preserve">Sales Development Representative</w:t>
            </w:r>
          </w:p>
        </w:tc>
        <w:tc>
          <w:tcPr>
            <w:tcW w:type="dxa" w:w="2500"/>
            <w:tcMar>
              <w:top w:type="dxa" w:w="80"/>
              <w:left w:type="dxa" w:w="120"/>
              <w:bottom w:type="dxa" w:w="80"/>
              <w:right w:type="dxa" w:w="120"/>
            </w:tcMar>
          </w:tcPr>
          <w:p>
            <w:pPr>
              <w:spacing w:after="60" w:before="60" w:line="260"/>
            </w:pPr>
            <w:r>
              <w:rPr>
                <w:sz w:val="19"/>
                <w:szCs w:val="19"/>
              </w:rPr>
              <w:t xml:space="preserve">Onsite, Munich</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Operations</w:t>
            </w:r>
          </w:p>
        </w:tc>
        <w:tc>
          <w:tcPr>
            <w:tcW w:type="dxa" w:w="5380"/>
            <w:tcMar>
              <w:top w:type="dxa" w:w="80"/>
              <w:left w:type="dxa" w:w="120"/>
              <w:bottom w:type="dxa" w:w="80"/>
              <w:right w:type="dxa" w:w="120"/>
            </w:tcMar>
          </w:tcPr>
          <w:p>
            <w:pPr>
              <w:spacing w:after="60" w:before="60" w:line="260"/>
            </w:pPr>
            <w:r>
              <w:rPr>
                <w:sz w:val="19"/>
                <w:szCs w:val="19"/>
              </w:rPr>
              <w:t xml:space="preserve">Founders Associate</w:t>
            </w:r>
          </w:p>
        </w:tc>
        <w:tc>
          <w:tcPr>
            <w:tcW w:type="dxa" w:w="2500"/>
            <w:tcMar>
              <w:top w:type="dxa" w:w="80"/>
              <w:left w:type="dxa" w:w="120"/>
              <w:bottom w:type="dxa" w:w="80"/>
              <w:right w:type="dxa" w:w="120"/>
            </w:tcMar>
          </w:tcPr>
          <w:p>
            <w:pPr>
              <w:spacing w:after="60" w:before="60" w:line="260"/>
            </w:pPr>
            <w:r>
              <w:rPr>
                <w:sz w:val="19"/>
                <w:szCs w:val="19"/>
              </w:rPr>
              <w:t xml:space="preserve">Onsite, Munich</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Operations</w:t>
            </w:r>
          </w:p>
        </w:tc>
        <w:tc>
          <w:tcPr>
            <w:tcW w:type="dxa" w:w="5380"/>
            <w:tcMar>
              <w:top w:type="dxa" w:w="80"/>
              <w:left w:type="dxa" w:w="120"/>
              <w:bottom w:type="dxa" w:w="80"/>
              <w:right w:type="dxa" w:w="120"/>
            </w:tcMar>
          </w:tcPr>
          <w:p>
            <w:pPr>
              <w:spacing w:after="60" w:before="60" w:line="260"/>
            </w:pPr>
            <w:r>
              <w:rPr>
                <w:sz w:val="19"/>
                <w:szCs w:val="19"/>
              </w:rPr>
              <w:t xml:space="preserve">Founding Ops</w:t>
            </w:r>
          </w:p>
        </w:tc>
        <w:tc>
          <w:tcPr>
            <w:tcW w:type="dxa" w:w="2500"/>
            <w:tcMar>
              <w:top w:type="dxa" w:w="80"/>
              <w:left w:type="dxa" w:w="120"/>
              <w:bottom w:type="dxa" w:w="80"/>
              <w:right w:type="dxa" w:w="120"/>
            </w:tcMar>
          </w:tcPr>
          <w:p>
            <w:pPr>
              <w:spacing w:after="60" w:before="60" w:line="260"/>
            </w:pPr>
            <w:r>
              <w:rPr>
                <w:sz w:val="19"/>
                <w:szCs w:val="19"/>
              </w:rPr>
              <w:t xml:space="preserve">Onsite, Munich</w:t>
            </w:r>
          </w:p>
        </w:tc>
      </w:tr>
    </w:tbl>
    <w:p>
      <w:pPr>
        <w:spacing w:after="160"/>
      </w:pPr>
    </w:p>
    <w:p>
      <w:pPr>
        <w:spacing w:after="140" w:line="276"/>
      </w:pPr>
      <w:r>
        <w:rPr>
          <w:b/>
          <w:bCs/>
        </w:rPr>
        <w:t xml:space="preserve">Benefits: </w:t>
      </w:r>
      <w:r>
        <w:t xml:space="preserve">€250 workspace setup voucher; free beverages, coffee and snacks; "access to modern AI tools (Claude, Cursor, and more) as part of your daily workflow"; early-stage equity or VSOP for applicable roles.</w:t>
      </w:r>
    </w:p>
    <w:p>
      <w:pPr>
        <w:spacing w:after="140" w:line="276"/>
      </w:pPr>
      <w:r>
        <w:rPr>
          <w:b/>
          <w:bCs/>
        </w:rPr>
        <w:t xml:space="preserve">Hiring filter worth noting: </w:t>
      </w:r>
      <w:r>
        <w:t xml:space="preserve">engineering applications require submitting an AI coding session transcript — from Claude Code, Cursor, Codex or equivalent — as the primary artefact, followed by a 60-minute live build with an AI assistant they provide. Their self-description is "AI-native: we build with AI, not just around it," and they state a hiring decision within one week.</w:t>
      </w:r>
    </w:p>
    <w:p>
      <w:pPr>
        <w:pStyle w:val="Heading1"/>
        <w:spacing w:after="160" w:before="360"/>
      </w:pPr>
      <w:r>
        <w:t xml:space="preserve">10. Complete FAQ, verbatim</w:t>
      </w:r>
    </w:p>
    <w:p>
      <w:pPr>
        <w:spacing w:after="140" w:line="276"/>
      </w:pPr>
      <w:r>
        <w:t xml:space="preserve">All 14 answers across the five tabs on the homepage. The tab content is loaded dynamically and is not visible in the page source.</w:t>
      </w:r>
    </w:p>
    <w:p>
      <w:pPr>
        <w:pStyle w:val="Heading2"/>
        <w:spacing w:after="120" w:before="260"/>
      </w:pPr>
      <w:r>
        <w:t xml:space="preserve">General</w:t>
      </w:r>
    </w:p>
    <w:p>
      <w:pPr>
        <w:spacing w:after="60" w:before="160"/>
      </w:pPr>
      <w:r>
        <w:rPr>
          <w:b/>
          <w:bCs/>
        </w:rPr>
        <w:t xml:space="preserve">What is 5U AI?</w:t>
      </w:r>
    </w:p>
    <w:p>
      <w:pPr>
        <w:spacing w:after="120" w:line="276"/>
        <w:ind w:left="360"/>
      </w:pPr>
      <w:r>
        <w:rPr>
          <w:i/>
          <w:iCs/>
          <w:color w:val="333333"/>
        </w:rPr>
        <w:t xml:space="preserve">5U AI provides digital AI workers that automate the manual work behind freight operations - from order entry and quoting to status updates and customer communication. They fit directly into your existing workflows and tools.</w:t>
      </w:r>
    </w:p>
    <w:p>
      <w:pPr>
        <w:spacing w:after="60" w:before="160"/>
      </w:pPr>
      <w:r>
        <w:rPr>
          <w:b/>
          <w:bCs/>
        </w:rPr>
        <w:t xml:space="preserve">Do I need to replace my current systems?</w:t>
      </w:r>
    </w:p>
    <w:p>
      <w:pPr>
        <w:spacing w:after="120" w:line="276"/>
        <w:ind w:left="360"/>
      </w:pPr>
      <w:r>
        <w:rPr>
          <w:i/>
          <w:iCs/>
          <w:color w:val="333333"/>
        </w:rPr>
        <w:t xml:space="preserve">No. Our AI workers plug into the tools you already use - email, chat, TMS, CRMs, and customer portals. No new platform, no retraining.</w:t>
      </w:r>
    </w:p>
    <w:p>
      <w:pPr>
        <w:spacing w:after="60" w:before="160"/>
      </w:pPr>
      <w:r>
        <w:rPr>
          <w:b/>
          <w:bCs/>
        </w:rPr>
        <w:t xml:space="preserve">How is your solution different from those in the market?</w:t>
      </w:r>
    </w:p>
    <w:p>
      <w:pPr>
        <w:spacing w:after="120" w:line="276"/>
        <w:ind w:left="360"/>
      </w:pPr>
      <w:r>
        <w:rPr>
          <w:i/>
          <w:iCs/>
          <w:color w:val="333333"/>
        </w:rPr>
        <w:t xml:space="preserve">Other solutions use outdated and fragile methods or only deploy "workflow automation" that perform trigger based actions. 5U AI keeps the promise of "worker", which is alive that you can talk to, does the work and behaves like your best employees.</w:t>
      </w:r>
    </w:p>
    <w:p>
      <w:pPr>
        <w:pStyle w:val="Heading2"/>
        <w:spacing w:after="120" w:before="260"/>
      </w:pPr>
      <w:r>
        <w:t xml:space="preserve">Capabilities</w:t>
      </w:r>
    </w:p>
    <w:p>
      <w:pPr>
        <w:spacing w:after="60" w:before="160"/>
      </w:pPr>
      <w:r>
        <w:rPr>
          <w:b/>
          <w:bCs/>
        </w:rPr>
        <w:t xml:space="preserve">What tasks can AI workers handle?</w:t>
      </w:r>
    </w:p>
    <w:p>
      <w:pPr>
        <w:spacing w:after="120" w:line="276"/>
        <w:ind w:left="360"/>
      </w:pPr>
      <w:r>
        <w:rPr>
          <w:i/>
          <w:iCs/>
          <w:color w:val="333333"/>
        </w:rPr>
        <w:t xml:space="preserve">Currently, we see a high ROI from our customers on rate management and track-and-trace use cases that require many touches and clicks for each shipment. They can handle files, emails, portals and all the busy back office work that is a burden for your team.</w:t>
      </w:r>
    </w:p>
    <w:p>
      <w:pPr>
        <w:spacing w:after="60" w:before="160"/>
      </w:pPr>
      <w:r>
        <w:rPr>
          <w:b/>
          <w:bCs/>
        </w:rPr>
        <w:t xml:space="preserve">What happens if an AI worker is unsure or receives unclear instructions?</w:t>
      </w:r>
    </w:p>
    <w:p>
      <w:pPr>
        <w:spacing w:after="120" w:line="276"/>
        <w:ind w:left="360"/>
      </w:pPr>
      <w:r>
        <w:rPr>
          <w:i/>
          <w:iCs/>
          <w:color w:val="333333"/>
        </w:rPr>
        <w:t xml:space="preserve">AI workers follow your SOPs. If something is unclear, they either request clarification or escalate it to your team - so nothing gets lost.</w:t>
      </w:r>
    </w:p>
    <w:p>
      <w:pPr>
        <w:spacing w:after="60" w:before="160"/>
      </w:pPr>
      <w:r>
        <w:rPr>
          <w:b/>
          <w:bCs/>
        </w:rPr>
        <w:t xml:space="preserve">Do AI workers learn from my data?</w:t>
      </w:r>
    </w:p>
    <w:p>
      <w:pPr>
        <w:spacing w:after="120" w:line="276"/>
        <w:ind w:left="360"/>
      </w:pPr>
      <w:r>
        <w:rPr>
          <w:i/>
          <w:iCs/>
          <w:color w:val="333333"/>
        </w:rPr>
        <w:t xml:space="preserve">They follow your rules and SOPs. Over time, they adapt to your company-specific processes, but always within the boundaries you define.</w:t>
      </w:r>
    </w:p>
    <w:p>
      <w:pPr>
        <w:pStyle w:val="Heading2"/>
        <w:spacing w:after="120" w:before="260"/>
      </w:pPr>
      <w:r>
        <w:t xml:space="preserve">Security &amp; Privacy</w:t>
      </w:r>
    </w:p>
    <w:p>
      <w:pPr>
        <w:spacing w:after="60" w:before="160"/>
      </w:pPr>
      <w:r>
        <w:rPr>
          <w:b/>
          <w:bCs/>
        </w:rPr>
        <w:t xml:space="preserve">What security measures are you taking to protect customer data?</w:t>
      </w:r>
    </w:p>
    <w:p>
      <w:pPr>
        <w:spacing w:after="120" w:line="276"/>
        <w:ind w:left="360"/>
      </w:pPr>
      <w:r>
        <w:rPr>
          <w:i/>
          <w:iCs/>
          <w:color w:val="333333"/>
        </w:rPr>
        <w:t xml:space="preserve">We follow industry best practices with a defense-in-depth approach. This includes encryption at rest and in transit (AES-256, TLS), strict access controls, and logically isolated environments per customer. Your data never mixes with other customers. We maintain alignment with GDPR and offer European hosting options. Security is built into every layer of our platform - not bolted on as an afterthought.</w:t>
      </w:r>
    </w:p>
    <w:p>
      <w:pPr>
        <w:spacing w:after="60" w:before="160"/>
      </w:pPr>
      <w:r>
        <w:rPr>
          <w:b/>
          <w:bCs/>
        </w:rPr>
        <w:t xml:space="preserve">Do you log what the AI workers do?</w:t>
      </w:r>
    </w:p>
    <w:p>
      <w:pPr>
        <w:spacing w:after="120" w:line="276"/>
        <w:ind w:left="360"/>
      </w:pPr>
      <w:r>
        <w:rPr>
          <w:i/>
          <w:iCs/>
          <w:color w:val="333333"/>
        </w:rPr>
        <w:t xml:space="preserve">Yes. Every action is fully traceable in your customer portal, so you always know what's been done and when.</w:t>
      </w:r>
    </w:p>
    <w:p>
      <w:pPr>
        <w:spacing w:after="60" w:before="160"/>
      </w:pPr>
      <w:r>
        <w:rPr>
          <w:b/>
          <w:bCs/>
        </w:rPr>
        <w:t xml:space="preserve">Are you GDPR compliant?</w:t>
      </w:r>
    </w:p>
    <w:p>
      <w:pPr>
        <w:spacing w:after="120" w:line="276"/>
        <w:ind w:left="360"/>
      </w:pPr>
      <w:r>
        <w:rPr>
          <w:i/>
          <w:iCs/>
          <w:color w:val="333333"/>
        </w:rPr>
        <w:t xml:space="preserve">Yes. 5U AI is fully aligned with GDPR, including data minimization, customer-controlled deletion, and European hosting options.</w:t>
      </w:r>
    </w:p>
    <w:p>
      <w:pPr>
        <w:spacing w:after="60" w:before="160"/>
      </w:pPr>
      <w:r>
        <w:rPr>
          <w:b/>
          <w:bCs/>
        </w:rPr>
        <w:t xml:space="preserve">How is sensitive data stored and processed? Do you use encryption?</w:t>
      </w:r>
    </w:p>
    <w:p>
      <w:pPr>
        <w:spacing w:after="120" w:line="276"/>
        <w:ind w:left="360"/>
      </w:pPr>
      <w:r>
        <w:rPr>
          <w:i/>
          <w:iCs/>
          <w:color w:val="333333"/>
        </w:rPr>
        <w:t xml:space="preserve">Yes. All data is encrypted both at rest (AES-256) and in transit (TLS). Customer environments are logically separated, ensuring your data remains isolated. We use industry-standard key management practices and secure, cloud-native infrastructure. For detailed technical specifications, we provide security documentation during the evaluation process.</w:t>
      </w:r>
    </w:p>
    <w:p>
      <w:pPr>
        <w:spacing w:after="60" w:before="160"/>
      </w:pPr>
      <w:r>
        <w:rPr>
          <w:b/>
          <w:bCs/>
        </w:rPr>
        <w:t xml:space="preserve">Do you have an incident response plan for data breaches or security incidents?</w:t>
      </w:r>
    </w:p>
    <w:p>
      <w:pPr>
        <w:spacing w:after="120" w:line="276"/>
        <w:ind w:left="360"/>
      </w:pPr>
      <w:r>
        <w:rPr>
          <w:i/>
          <w:iCs/>
          <w:color w:val="333333"/>
        </w:rPr>
        <w:t xml:space="preserve">Yes. We maintain a documented incident response plan aligned with industry standards. In the event of any security incident, we commit to prompt investigation and transparent communication with affected customers. All AI Worker actions are fully logged and traceable, enabling rapid identification and resolution of any issues.</w:t>
      </w:r>
    </w:p>
    <w:p>
      <w:pPr>
        <w:pStyle w:val="Heading2"/>
        <w:spacing w:after="120" w:before="260"/>
      </w:pPr>
      <w:r>
        <w:t xml:space="preserve">Pricing &amp; Support</w:t>
      </w:r>
    </w:p>
    <w:p>
      <w:pPr>
        <w:spacing w:after="60" w:before="160"/>
      </w:pPr>
      <w:r>
        <w:rPr>
          <w:b/>
          <w:bCs/>
        </w:rPr>
        <w:t xml:space="preserve">How much does your solution cost?</w:t>
      </w:r>
    </w:p>
    <w:p>
      <w:pPr>
        <w:spacing w:after="120" w:line="276"/>
        <w:ind w:left="360"/>
      </w:pPr>
      <w:r>
        <w:rPr>
          <w:i/>
          <w:iCs/>
          <w:color w:val="333333"/>
        </w:rPr>
        <w:t xml:space="preserve">We try to design an individual price package depending on the use case and problem we solve. Please get in touch with us to get a pricing estimate.</w:t>
      </w:r>
    </w:p>
    <w:p>
      <w:pPr>
        <w:spacing w:after="60" w:before="160"/>
      </w:pPr>
      <w:r>
        <w:rPr>
          <w:b/>
          <w:bCs/>
        </w:rPr>
        <w:t xml:space="preserve">How quickly can we get started?</w:t>
      </w:r>
    </w:p>
    <w:p>
      <w:pPr>
        <w:spacing w:after="120" w:line="276"/>
        <w:ind w:left="360"/>
      </w:pPr>
      <w:r>
        <w:rPr>
          <w:i/>
          <w:iCs/>
          <w:color w:val="333333"/>
        </w:rPr>
        <w:t xml:space="preserve">Most customers go live in a matter of weeks. Since AI workers use your existing tools, onboarding is straightforward and doesn't require system replacement.</w:t>
      </w:r>
    </w:p>
    <w:p>
      <w:pPr>
        <w:spacing w:after="60" w:before="160"/>
      </w:pPr>
      <w:r>
        <w:rPr>
          <w:b/>
          <w:bCs/>
        </w:rPr>
        <w:t xml:space="preserve">How is customer support set up after AI Workers go live?</w:t>
      </w:r>
    </w:p>
    <w:p>
      <w:pPr>
        <w:spacing w:after="120" w:line="276"/>
        <w:ind w:left="360"/>
      </w:pPr>
      <w:r>
        <w:rPr>
          <w:i/>
          <w:iCs/>
          <w:color w:val="333333"/>
        </w:rPr>
        <w:t xml:space="preserve">After go-live, you receive dedicated support through your preferred communication channel with your dedicated project lead and technical lead from our team. Our team provides onboarding assistance, ongoing optimization support, and prompt response to any issues. We work closely with you to refine AI Worker behavior based on real-world performance. You also have access to real-time dashboards to monitor your AI Workers and full action logs for complete visibility.</w:t>
      </w:r>
    </w:p>
    <w:p>
      <w:pPr>
        <w:pStyle w:val="Heading2"/>
        <w:spacing w:after="120" w:before="260"/>
      </w:pPr>
      <w:r>
        <w:t xml:space="preserve">Technical</w:t>
      </w:r>
    </w:p>
    <w:p>
      <w:pPr>
        <w:spacing w:after="60" w:before="160"/>
      </w:pPr>
      <w:r>
        <w:rPr>
          <w:b/>
          <w:bCs/>
        </w:rPr>
        <w:t xml:space="preserve">How do AI workers connect to my systems?</w:t>
      </w:r>
    </w:p>
    <w:p>
      <w:pPr>
        <w:spacing w:after="120" w:line="276"/>
        <w:ind w:left="360"/>
      </w:pPr>
      <w:r>
        <w:rPr>
          <w:i/>
          <w:iCs/>
          <w:color w:val="333333"/>
        </w:rPr>
        <w:t xml:space="preserve">Through secure APIs, email/SMTP, and portal automations. We integrate with common logistics platforms (TMS, CRM, chat tools) and can build connectors for custom systems.</w:t>
      </w:r>
    </w:p>
    <w:p>
      <w:pPr>
        <w:spacing w:after="60" w:before="160"/>
      </w:pPr>
      <w:r>
        <w:rPr>
          <w:b/>
          <w:bCs/>
        </w:rPr>
        <w:t xml:space="preserve">What infrastructure does 5U AI run on?</w:t>
      </w:r>
    </w:p>
    <w:p>
      <w:pPr>
        <w:spacing w:after="120" w:line="276"/>
        <w:ind w:left="360"/>
      </w:pPr>
      <w:r>
        <w:rPr>
          <w:i/>
          <w:iCs/>
          <w:color w:val="333333"/>
        </w:rPr>
        <w:t xml:space="preserve">5U AI runs on secure, cloud-native infrastructure with European hosting. Each customer environment is logically separated for data protection.</w:t>
      </w:r>
    </w:p>
    <w:p>
      <w:pPr>
        <w:spacing w:after="60" w:before="160"/>
      </w:pPr>
      <w:r>
        <w:rPr>
          <w:b/>
          <w:bCs/>
        </w:rPr>
        <w:t xml:space="preserve">Do AI workers need training before they work?</w:t>
      </w:r>
    </w:p>
    <w:p>
      <w:pPr>
        <w:spacing w:after="120" w:line="276"/>
        <w:ind w:left="360"/>
      </w:pPr>
      <w:r>
        <w:rPr>
          <w:i/>
          <w:iCs/>
          <w:color w:val="333333"/>
        </w:rPr>
        <w:t xml:space="preserve">Yes - during onboarding, we align them with your SOPs, templates, and customer requirements. This is a configuration process that needs minimal data upfront; not usual "AI training." Updates can be rolled out in days.</w:t>
      </w:r>
    </w:p>
    <w:p>
      <w:pPr>
        <w:spacing w:after="60" w:before="160"/>
      </w:pPr>
      <w:r>
        <w:rPr>
          <w:b/>
          <w:bCs/>
        </w:rPr>
        <w:t xml:space="preserve">Can I control or audit what AI workers do?</w:t>
      </w:r>
    </w:p>
    <w:p>
      <w:pPr>
        <w:spacing w:after="120" w:line="276"/>
        <w:ind w:left="360"/>
      </w:pPr>
      <w:r>
        <w:rPr>
          <w:i/>
          <w:iCs/>
          <w:color w:val="333333"/>
        </w:rPr>
        <w:t xml:space="preserve">Absolutely. All actions are logged in detail. You can review, trace, and export records of every task an AI worker performs.</w:t>
      </w:r>
    </w:p>
    <w:p>
      <w:pPr>
        <w:pStyle w:val="Heading1"/>
        <w:spacing w:after="160" w:before="360"/>
      </w:pPr>
      <w:r>
        <w:t xml:space="preserve">11. Diligence questions and risks</w:t>
      </w:r>
    </w:p>
    <w:p>
      <w:pPr>
        <w:pStyle w:val="Heading2"/>
        <w:spacing w:after="120" w:before="260"/>
      </w:pPr>
      <w:r>
        <w:t xml:space="preserve">1. The DPA contradicts itself on hosting</w:t>
      </w:r>
    </w:p>
    <w:p>
      <w:pPr>
        <w:spacing w:after="140" w:line="276"/>
      </w:pPr>
      <w:r>
        <w:t xml:space="preserve">Schedule 1 names Northflank (Germany) as the cloud hosting and deployment platform. Schedule 2 states "Hosting in the EEA (Railway, West Europe)." Two different platform-as-a-service providers appear in a single document. This is almost certainly a template artefact, but it means the document has not been carefully reviewed — and hosting location is precisely what a German forwarder's IT function will ask about first.</w:t>
      </w:r>
    </w:p>
    <w:p>
      <w:pPr>
        <w:pStyle w:val="Heading2"/>
        <w:spacing w:after="120" w:before="260"/>
      </w:pPr>
      <w:r>
        <w:t xml:space="preserve">2. Clause 10.3 is broader than the FAQ implies</w:t>
      </w:r>
    </w:p>
    <w:p>
      <w:pPr>
        <w:spacing w:after="140" w:line="276"/>
      </w:pPr>
      <w:r>
        <w:t xml:space="preserve">The customer-facing FAQ says workers adapt "always within the boundaries you define." The contract says the provider may use Customer Data to "develop, provide and maintain… its 5U AI Solution and the Services… for its own benefit generally and for the benefit of the Customer" (Clause 10.3). Customer retains title to its data (Clause 10.1), and feedback may be used for improvement (Clause 10.2).</w:t>
      </w:r>
    </w:p>
    <w:p>
      <w:pPr>
        <w:spacing w:after="140" w:line="276"/>
      </w:pPr>
      <w:r>
        <w:t xml:space="preserve">Set against Hugging Face being listed as a subprocessor specifically for "LLM testing, fine-tuning, and use of hosted models," and the shadow-mode practice of fine-tuning on a customer's historical cases, the open question is whether one customer's operational data improves models that serve competitors. Get an explicit written answer.</w:t>
      </w:r>
    </w:p>
    <w:p>
      <w:pPr>
        <w:pStyle w:val="Heading2"/>
        <w:spacing w:after="120" w:before="260"/>
      </w:pPr>
      <w:r>
        <w:t xml:space="preserve">3. No certifications, no SLA, and a two-year lock-in</w:t>
      </w:r>
    </w:p>
    <w:p>
      <w:pPr>
        <w:spacing w:after="140" w:line="276"/>
      </w:pPr>
      <w:r>
        <w:t xml:space="preserve">No SOC 2, no ISO 27001, and no third-party audit is mentioned anywhere on the site. Availability is a "best efforts" obligation with maintenance excluded, fees are non-refundable, there is no termination for convenience, and the initial term is 24 months. The trial phase is the only genuine off-ramp, which makes the trial terms in the Order Form the part to negotiate hardest. Security documentation is offered only "during the evaluation process."</w:t>
      </w:r>
    </w:p>
    <w:p>
      <w:pPr>
        <w:spacing w:after="140" w:line="276"/>
      </w:pPr>
      <w:r>
        <w:t xml:space="preserve">This is consistent with a seven-person company two days past its pre-seed announcement, but it is the gap an enterprise procurement team will hit first.</w:t>
      </w:r>
    </w:p>
    <w:p>
      <w:pPr>
        <w:pStyle w:val="Heading2"/>
        <w:spacing w:after="120" w:before="260"/>
      </w:pPr>
      <w:r>
        <w:t xml:space="preserve">4. "Portal automations" is the fragile load-bearing component</w:t>
      </w:r>
    </w:p>
    <w:p>
      <w:pPr>
        <w:spacing w:after="140" w:line="276"/>
      </w:pPr>
      <w:r>
        <w:t xml:space="preserve">The stated resilience claim is that Workers are self-healing when carrier portals change. In practice that is browser automation against third-party portals the company does not control, and it is the most likely source of silent failure. Ask to see escalation rates and human-takeover metrics from a live account.</w:t>
      </w:r>
    </w:p>
    <w:p>
      <w:pPr>
        <w:pStyle w:val="Heading2"/>
        <w:spacing w:after="120" w:before="260"/>
      </w:pPr>
      <w:r>
        <w:t xml:space="preserve">5. Key metrics they think matter</w:t>
      </w:r>
    </w:p>
    <w:p>
      <w:pPr>
        <w:spacing w:after="140" w:line="276"/>
      </w:pPr>
      <w:r>
        <w:t xml:space="preserve">Their thesis blog post, "One second. What's actually happening in logistics?" (24 September 2025), proposes the metrics they believe buyers should track. Whether evaluating or competing with them, this is effectively their own scorecard:</w:t>
      </w:r>
    </w:p>
    <w:p>
      <w:pPr>
        <w:pStyle w:val="ListParagraph"/>
        <w:numPr>
          <w:ilvl w:val="0"/>
          <w:numId w:val="2"/>
        </w:numPr>
        <w:spacing w:after="90" w:line="276"/>
      </w:pPr>
      <w:r>
        <w:t xml:space="preserve">Time-to-First-Response on RFQs</w:t>
      </w:r>
    </w:p>
    <w:p>
      <w:pPr>
        <w:pStyle w:val="ListParagraph"/>
        <w:numPr>
          <w:ilvl w:val="0"/>
          <w:numId w:val="2"/>
        </w:numPr>
        <w:spacing w:after="90" w:line="276"/>
      </w:pPr>
      <w:r>
        <w:t xml:space="preserve">Thread Reopens per Job</w:t>
      </w:r>
    </w:p>
    <w:p>
      <w:pPr>
        <w:pStyle w:val="ListParagraph"/>
        <w:numPr>
          <w:ilvl w:val="0"/>
          <w:numId w:val="2"/>
        </w:numPr>
        <w:spacing w:after="90" w:line="276"/>
      </w:pPr>
      <w:r>
        <w:t xml:space="preserve">Exception Half-Life</w:t>
      </w:r>
    </w:p>
    <w:p>
      <w:pPr>
        <w:pStyle w:val="ListParagraph"/>
        <w:numPr>
          <w:ilvl w:val="0"/>
          <w:numId w:val="2"/>
        </w:numPr>
        <w:spacing w:after="90" w:line="276"/>
      </w:pPr>
      <w:r>
        <w:t xml:space="preserve">Discrepancies between customer data and system data</w:t>
      </w:r>
    </w:p>
    <w:p>
      <w:pPr>
        <w:pStyle w:val="ListParagraph"/>
        <w:numPr>
          <w:ilvl w:val="0"/>
          <w:numId w:val="2"/>
        </w:numPr>
        <w:spacing w:after="90" w:line="276"/>
      </w:pPr>
      <w:r>
        <w:t xml:space="preserve">Ask Rate versus Error Rate</w:t>
      </w:r>
    </w:p>
    <w:p>
      <w:pPr>
        <w:pStyle w:val="ListParagraph"/>
        <w:numPr>
          <w:ilvl w:val="0"/>
          <w:numId w:val="2"/>
        </w:numPr>
        <w:spacing w:after="90" w:line="276"/>
      </w:pPr>
      <w:r>
        <w:t xml:space="preserve">Closed-Loop Percentage</w:t>
      </w:r>
    </w:p>
    <w:p>
      <w:pPr>
        <w:spacing w:after="160"/>
      </w:pPr>
    </w:p>
    <w:p>
      <w:pPr>
        <w:spacing w:after="140" w:line="276"/>
      </w:pPr>
      <w:r>
        <w:t xml:space="preserve">The article's central argument is that traditional automation fails because it processes information mechanically rather than contextually — "the 'exception' is the job" — and that LLM-based agentic systems matter because they can follow a conversation, remember promises, and connect Tuesday's email to Friday's document.</w:t>
      </w:r>
    </w:p>
    <w:p>
      <w:pPr>
        <w:pStyle w:val="Heading1"/>
        <w:spacing w:after="160" w:before="360"/>
      </w:pPr>
      <w:r>
        <w:t xml:space="preserve">12. Pricing recommendation</w:t>
      </w:r>
    </w:p>
    <w:p>
      <w:pPr>
        <w:spacing w:after="140" w:line="276"/>
      </w:pPr>
      <w:r>
        <w:t xml:space="preserve">This section is advisory rather than descriptive. It is built from the competitor set researched alongside this dossier — 26 vendors across the EU, UK and US — and from 5U AI's own published Terms &amp; Conditions. It is not built from 5U AI's cost base, win rates or actual signed contract values, none of which are public. Treat the figures as a defensible opening position, not a final answer.</w:t>
      </w:r>
    </w:p>
    <w:p>
      <w:pPr>
        <w:pStyle w:val="Heading2"/>
        <w:spacing w:after="120" w:before="260"/>
      </w:pPr>
      <w:r>
        <w:t xml:space="preserve">12.1 The five recommendations</w:t>
      </w:r>
    </w:p>
    <w:p>
      <w:pPr>
        <w:spacing w:after="140" w:line="276"/>
      </w:pPr>
      <w:r>
        <w:rPr>
          <w:b/>
          <w:bCs/>
        </w:rPr>
        <w:t xml:space="preserve">Price the AI Worker, never the seat. </w:t>
      </w:r>
      <w:r>
        <w:t xml:space="preserve">The entire pitch is "10x output at the cost of one employee". Per-seat pricing means revenue falls as the product succeeds and headcount drops — and the buyer will notice that before the vendor does. Per-Worker pricing also matches the land-and-expand motion already written into the Founding Ops job spec, which describes expansion by workflow, team and location.</w:t>
      </w:r>
    </w:p>
    <w:p>
      <w:pPr>
        <w:spacing w:after="140" w:line="276"/>
      </w:pPr>
      <w:r>
        <w:rPr>
          <w:b/>
          <w:bCs/>
        </w:rPr>
        <w:t xml:space="preserve">Use a hybrid: platform fee plus per-Worker subscription plus usage above an included band. </w:t>
      </w:r>
      <w:r>
        <w:t xml:space="preserve">Hybrid base-plus-usage is now 41% of the AI market while per-seat has fallen from 21% to 15% in a year. A pure per-action model, as HappyRobot uses, suits high-volume broker call handling; it does not suit a mid-market forwarder CFO who needs a predictable invoice.</w:t>
      </w:r>
    </w:p>
    <w:p>
      <w:pPr>
        <w:spacing w:after="140" w:line="276"/>
      </w:pPr>
      <w:r>
        <w:rPr>
          <w:b/>
          <w:bCs/>
        </w:rPr>
        <w:t xml:space="preserve">Anchor on the labour cost released, not on software comparables. </w:t>
      </w:r>
      <w:r>
        <w:t xml:space="preserve">Anchoring on software is a losing game: Quotiss is US$69 per user per month and CargoWise bundles a rate module into a licence the forwarder already pays for. Anchoring on a German operations FTE at roughly €62,000 makes a €30,000 contract look inexpensive rather than expensive.</w:t>
      </w:r>
    </w:p>
    <w:p>
      <w:pPr>
        <w:spacing w:after="140" w:line="276"/>
      </w:pPr>
      <w:r>
        <w:rPr>
          <w:b/>
          <w:bCs/>
        </w:rPr>
        <w:t xml:space="preserve">Ramp the Worker fee against automation rate. </w:t>
      </w:r>
      <w:r>
        <w:t xml:space="preserve">Charge 50% of the Worker fee until automation rate reaches 60%, then the full fee. Automation rate is already the customer-health metric named in the Founding Ops spec, so this costs nothing to administer, aligns price with the number both sides watch, and removes the largest objection to committing to an unproven seven-person vendor.</w:t>
      </w:r>
    </w:p>
    <w:p>
      <w:pPr>
        <w:spacing w:after="140" w:line="276"/>
      </w:pPr>
      <w:r>
        <w:rPr>
          <w:b/>
          <w:bCs/>
        </w:rPr>
        <w:t xml:space="preserve">Sell a paid pilot, not a free trial. </w:t>
      </w:r>
      <w:r>
        <w:t xml:space="preserve">A priced three-month pilot, credited against year one on conversion, qualifies the buyer, funds the forward-deployed engineer, and replaces the current "As Is, no binding KPIs" trial clause that gives away the only commercial leverage available.</w:t>
      </w:r>
    </w:p>
    <w:p>
      <w:pPr>
        <w:pStyle w:val="Heading2"/>
        <w:spacing w:after="120" w:before="260"/>
      </w:pPr>
      <w:r>
        <w:t xml:space="preserve">12.2 Value anchor</w:t>
      </w:r>
    </w:p>
    <w:p>
      <w:pPr>
        <w:spacing w:after="140" w:line="276"/>
      </w:pPr>
      <w:r>
        <w:t xml:space="preserve">Everything below prices against the labour capacity one Core Worker releases: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4080"/>
      </w:tblGrid>
      <w:tr>
        <w:trPr>
          <w:cantSplit/>
          <w:tblHeader/>
        </w:trPr>
        <w:tc>
          <w:tcPr>
            <w:tcW w:type="dxa" w:w="4400"/>
            <w:shd w:fill="EDEAE4" w:color="auto" w:val="clear"/>
            <w:tcMar>
              <w:top w:type="dxa" w:w="80"/>
              <w:left w:type="dxa" w:w="120"/>
              <w:bottom w:type="dxa" w:w="80"/>
              <w:right w:type="dxa" w:w="120"/>
            </w:tcMar>
          </w:tcPr>
          <w:p>
            <w:pPr>
              <w:spacing w:after="60" w:before="60" w:line="260"/>
            </w:pPr>
            <w:r>
              <w:rPr>
                <w:b/>
                <w:bCs/>
                <w:sz w:val="19"/>
                <w:szCs w:val="19"/>
              </w:rPr>
              <w:t xml:space="preserve">Assumption</w:t>
            </w:r>
          </w:p>
        </w:tc>
        <w:tc>
          <w:tcPr>
            <w:tcW w:type="dxa" w:w="1600"/>
            <w:shd w:fill="EDEAE4" w:color="auto" w:val="clear"/>
            <w:tcMar>
              <w:top w:type="dxa" w:w="80"/>
              <w:left w:type="dxa" w:w="120"/>
              <w:bottom w:type="dxa" w:w="80"/>
              <w:right w:type="dxa" w:w="120"/>
            </w:tcMar>
          </w:tcPr>
          <w:p>
            <w:pPr>
              <w:spacing w:after="60" w:before="60" w:line="260"/>
            </w:pPr>
            <w:r>
              <w:rPr>
                <w:b/>
                <w:bCs/>
                <w:sz w:val="19"/>
                <w:szCs w:val="19"/>
              </w:rPr>
              <w:t xml:space="preserve">Value</w:t>
            </w:r>
          </w:p>
        </w:tc>
        <w:tc>
          <w:tcPr>
            <w:tcW w:type="dxa" w:w="4080"/>
            <w:shd w:fill="EDEAE4" w:color="auto" w:val="clear"/>
            <w:tcMar>
              <w:top w:type="dxa" w:w="80"/>
              <w:left w:type="dxa" w:w="120"/>
              <w:bottom w:type="dxa" w:w="80"/>
              <w:right w:type="dxa" w:w="120"/>
            </w:tcMar>
          </w:tcPr>
          <w:p>
            <w:pPr>
              <w:spacing w:after="60" w:before="60" w:line="260"/>
            </w:pPr>
            <w:r>
              <w:rPr>
                <w:b/>
                <w:bCs/>
                <w:sz w:val="19"/>
                <w:szCs w:val="19"/>
              </w:rPr>
              <w:t xml:space="preserve">Basis</w:t>
            </w:r>
          </w:p>
        </w:tc>
      </w:tr>
      <w:tr>
        <w:trPr>
          <w:cantSplit/>
        </w:trPr>
        <w:tc>
          <w:tcPr>
            <w:tcW w:type="dxa" w:w="4400"/>
            <w:tcMar>
              <w:top w:type="dxa" w:w="80"/>
              <w:left w:type="dxa" w:w="120"/>
              <w:bottom w:type="dxa" w:w="80"/>
              <w:right w:type="dxa" w:w="120"/>
            </w:tcMar>
          </w:tcPr>
          <w:p>
            <w:pPr>
              <w:spacing w:after="60" w:before="60" w:line="260"/>
            </w:pPr>
            <w:r>
              <w:rPr>
                <w:sz w:val="19"/>
                <w:szCs w:val="19"/>
              </w:rPr>
              <w:t xml:space="preserve">Fully loaded annual cost of one ops FTE</w:t>
            </w:r>
          </w:p>
        </w:tc>
        <w:tc>
          <w:tcPr>
            <w:tcW w:type="dxa" w:w="1600"/>
            <w:tcMar>
              <w:top w:type="dxa" w:w="80"/>
              <w:left w:type="dxa" w:w="120"/>
              <w:bottom w:type="dxa" w:w="80"/>
              <w:right w:type="dxa" w:w="120"/>
            </w:tcMar>
          </w:tcPr>
          <w:p>
            <w:pPr>
              <w:spacing w:after="60" w:before="60" w:line="260"/>
            </w:pPr>
            <w:r>
              <w:rPr>
                <w:sz w:val="19"/>
                <w:szCs w:val="19"/>
              </w:rPr>
              <w:t xml:space="preserve">€62,000</w:t>
            </w:r>
          </w:p>
        </w:tc>
        <w:tc>
          <w:tcPr>
            <w:tcW w:type="dxa" w:w="4080"/>
            <w:tcMar>
              <w:top w:type="dxa" w:w="80"/>
              <w:left w:type="dxa" w:w="120"/>
              <w:bottom w:type="dxa" w:w="80"/>
              <w:right w:type="dxa" w:w="120"/>
            </w:tcMar>
          </w:tcPr>
          <w:p>
            <w:pPr>
              <w:spacing w:after="60" w:before="60" w:line="260"/>
            </w:pPr>
            <w:r>
              <w:rPr>
                <w:sz w:val="19"/>
                <w:szCs w:val="19"/>
              </w:rPr>
              <w:t xml:space="preserve">DACH mid-market logistics salary plus employer costs</w:t>
            </w:r>
          </w:p>
        </w:tc>
      </w:tr>
      <w:tr>
        <w:trPr>
          <w:cantSplit/>
        </w:trPr>
        <w:tc>
          <w:tcPr>
            <w:tcW w:type="dxa" w:w="4400"/>
            <w:tcMar>
              <w:top w:type="dxa" w:w="80"/>
              <w:left w:type="dxa" w:w="120"/>
              <w:bottom w:type="dxa" w:w="80"/>
              <w:right w:type="dxa" w:w="120"/>
            </w:tcMar>
          </w:tcPr>
          <w:p>
            <w:pPr>
              <w:spacing w:after="60" w:before="60" w:line="260"/>
            </w:pPr>
            <w:r>
              <w:rPr>
                <w:sz w:val="19"/>
                <w:szCs w:val="19"/>
              </w:rPr>
              <w:t xml:space="preserve">Ops FTE-equivalents one Core Worker touches</w:t>
            </w:r>
          </w:p>
        </w:tc>
        <w:tc>
          <w:tcPr>
            <w:tcW w:type="dxa" w:w="1600"/>
            <w:tcMar>
              <w:top w:type="dxa" w:w="80"/>
              <w:left w:type="dxa" w:w="120"/>
              <w:bottom w:type="dxa" w:w="80"/>
              <w:right w:type="dxa" w:w="120"/>
            </w:tcMar>
          </w:tcPr>
          <w:p>
            <w:pPr>
              <w:spacing w:after="60" w:before="60" w:line="260"/>
            </w:pPr>
            <w:r>
              <w:rPr>
                <w:sz w:val="19"/>
                <w:szCs w:val="19"/>
              </w:rPr>
              <w:t xml:space="preserve">2.0</w:t>
            </w:r>
          </w:p>
        </w:tc>
        <w:tc>
          <w:tcPr>
            <w:tcW w:type="dxa" w:w="4080"/>
            <w:tcMar>
              <w:top w:type="dxa" w:w="80"/>
              <w:left w:type="dxa" w:w="120"/>
              <w:bottom w:type="dxa" w:w="80"/>
              <w:right w:type="dxa" w:w="120"/>
            </w:tcMar>
          </w:tcPr>
          <w:p>
            <w:pPr>
              <w:spacing w:after="60" w:before="60" w:line="260"/>
            </w:pPr>
            <w:r>
              <w:rPr>
                <w:sz w:val="19"/>
                <w:szCs w:val="19"/>
              </w:rPr>
              <w:t xml:space="preserve">A Rate Manager or Track &amp; Trace Worker typically spans two operators</w:t>
            </w:r>
          </w:p>
        </w:tc>
      </w:tr>
      <w:tr>
        <w:trPr>
          <w:cantSplit/>
        </w:trPr>
        <w:tc>
          <w:tcPr>
            <w:tcW w:type="dxa" w:w="4400"/>
            <w:tcMar>
              <w:top w:type="dxa" w:w="80"/>
              <w:left w:type="dxa" w:w="120"/>
              <w:bottom w:type="dxa" w:w="80"/>
              <w:right w:type="dxa" w:w="120"/>
            </w:tcMar>
          </w:tcPr>
          <w:p>
            <w:pPr>
              <w:spacing w:after="60" w:before="60" w:line="260"/>
            </w:pPr>
            <w:r>
              <w:rPr>
                <w:sz w:val="19"/>
                <w:szCs w:val="19"/>
              </w:rPr>
              <w:t xml:space="preserve">Share of their day the Worker absorbs</w:t>
            </w:r>
          </w:p>
        </w:tc>
        <w:tc>
          <w:tcPr>
            <w:tcW w:type="dxa" w:w="1600"/>
            <w:tcMar>
              <w:top w:type="dxa" w:w="80"/>
              <w:left w:type="dxa" w:w="120"/>
              <w:bottom w:type="dxa" w:w="80"/>
              <w:right w:type="dxa" w:w="120"/>
            </w:tcMar>
          </w:tcPr>
          <w:p>
            <w:pPr>
              <w:spacing w:after="60" w:before="60" w:line="260"/>
            </w:pPr>
            <w:r>
              <w:rPr>
                <w:sz w:val="19"/>
                <w:szCs w:val="19"/>
              </w:rPr>
              <w:t xml:space="preserve">70%</w:t>
            </w:r>
          </w:p>
        </w:tc>
        <w:tc>
          <w:tcPr>
            <w:tcW w:type="dxa" w:w="4080"/>
            <w:tcMar>
              <w:top w:type="dxa" w:w="80"/>
              <w:left w:type="dxa" w:w="120"/>
              <w:bottom w:type="dxa" w:w="80"/>
              <w:right w:type="dxa" w:w="120"/>
            </w:tcMar>
          </w:tcPr>
          <w:p>
            <w:pPr>
              <w:spacing w:after="60" w:before="60" w:line="260"/>
            </w:pPr>
            <w:r>
              <w:rPr>
                <w:sz w:val="19"/>
                <w:szCs w:val="19"/>
              </w:rPr>
              <w:t xml:space="preserve">5U AI's own published claim</w:t>
            </w:r>
          </w:p>
        </w:tc>
      </w:tr>
      <w:tr>
        <w:trPr>
          <w:cantSplit/>
        </w:trPr>
        <w:tc>
          <w:tcPr>
            <w:tcW w:type="dxa" w:w="4400"/>
            <w:tcMar>
              <w:top w:type="dxa" w:w="80"/>
              <w:left w:type="dxa" w:w="120"/>
              <w:bottom w:type="dxa" w:w="80"/>
              <w:right w:type="dxa" w:w="120"/>
            </w:tcMar>
          </w:tcPr>
          <w:p>
            <w:pPr>
              <w:spacing w:after="60" w:before="60" w:line="260"/>
            </w:pPr>
            <w:r>
              <w:rPr>
                <w:sz w:val="19"/>
                <w:szCs w:val="19"/>
              </w:rPr>
              <w:t xml:space="preserve">Automation rate at steady state</w:t>
            </w:r>
          </w:p>
        </w:tc>
        <w:tc>
          <w:tcPr>
            <w:tcW w:type="dxa" w:w="1600"/>
            <w:tcMar>
              <w:top w:type="dxa" w:w="80"/>
              <w:left w:type="dxa" w:w="120"/>
              <w:bottom w:type="dxa" w:w="80"/>
              <w:right w:type="dxa" w:w="120"/>
            </w:tcMar>
          </w:tcPr>
          <w:p>
            <w:pPr>
              <w:spacing w:after="60" w:before="60" w:line="260"/>
            </w:pPr>
            <w:r>
              <w:rPr>
                <w:sz w:val="19"/>
                <w:szCs w:val="19"/>
              </w:rPr>
              <w:t xml:space="preserve">90%</w:t>
            </w:r>
          </w:p>
        </w:tc>
        <w:tc>
          <w:tcPr>
            <w:tcW w:type="dxa" w:w="4080"/>
            <w:tcMar>
              <w:top w:type="dxa" w:w="80"/>
              <w:left w:type="dxa" w:w="120"/>
              <w:bottom w:type="dxa" w:w="80"/>
              <w:right w:type="dxa" w:w="120"/>
            </w:tcMar>
          </w:tcPr>
          <w:p>
            <w:pPr>
              <w:spacing w:after="60" w:before="60" w:line="260"/>
            </w:pPr>
            <w:r>
              <w:rPr>
                <w:sz w:val="19"/>
                <w:szCs w:val="19"/>
              </w:rPr>
              <w:t xml:space="preserve">Midpoint of 5U AI's stated 85–95% unattended range</w:t>
            </w:r>
          </w:p>
        </w:tc>
      </w:tr>
      <w:tr>
        <w:trPr>
          <w:cantSplit/>
        </w:trPr>
        <w:tc>
          <w:tcPr>
            <w:tcW w:type="dxa" w:w="4400"/>
            <w:tcMar>
              <w:top w:type="dxa" w:w="80"/>
              <w:left w:type="dxa" w:w="120"/>
              <w:bottom w:type="dxa" w:w="80"/>
              <w:right w:type="dxa" w:w="120"/>
            </w:tcMar>
          </w:tcPr>
          <w:p>
            <w:pPr>
              <w:spacing w:after="60" w:before="60" w:line="260"/>
            </w:pPr>
            <w:r>
              <w:rPr>
                <w:sz w:val="19"/>
                <w:szCs w:val="19"/>
              </w:rPr>
              <w:t xml:space="preserve">Annual value released per Core Worker</w:t>
            </w:r>
          </w:p>
        </w:tc>
        <w:tc>
          <w:tcPr>
            <w:tcW w:type="dxa" w:w="1600"/>
            <w:tcMar>
              <w:top w:type="dxa" w:w="80"/>
              <w:left w:type="dxa" w:w="120"/>
              <w:bottom w:type="dxa" w:w="80"/>
              <w:right w:type="dxa" w:w="120"/>
            </w:tcMar>
          </w:tcPr>
          <w:p>
            <w:pPr>
              <w:spacing w:after="60" w:before="60" w:line="260"/>
            </w:pPr>
            <w:r>
              <w:rPr>
                <w:sz w:val="19"/>
                <w:szCs w:val="19"/>
              </w:rPr>
              <w:t xml:space="preserve">€78,120</w:t>
            </w:r>
          </w:p>
        </w:tc>
        <w:tc>
          <w:tcPr>
            <w:tcW w:type="dxa" w:w="4080"/>
            <w:tcMar>
              <w:top w:type="dxa" w:w="80"/>
              <w:left w:type="dxa" w:w="120"/>
              <w:bottom w:type="dxa" w:w="80"/>
              <w:right w:type="dxa" w:w="120"/>
            </w:tcMar>
          </w:tcPr>
          <w:p>
            <w:pPr>
              <w:spacing w:after="60" w:before="60" w:line="260"/>
            </w:pPr>
            <w:r>
              <w:rPr>
                <w:sz w:val="19"/>
                <w:szCs w:val="19"/>
              </w:rPr>
              <w:t xml:space="preserve">Calculated: the figure the whole rate card is priced against</w:t>
            </w:r>
          </w:p>
        </w:tc>
      </w:tr>
    </w:tbl>
    <w:p>
      <w:pPr>
        <w:spacing w:after="160"/>
      </w:pPr>
    </w:p>
    <w:p>
      <w:pPr>
        <w:pStyle w:val="Heading2"/>
        <w:spacing w:after="120" w:before="260"/>
      </w:pPr>
      <w:r>
        <w:t xml:space="preserve">12.3 Recommended rate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3200"/>
        <w:gridCol w:w="2200"/>
      </w:tblGrid>
      <w:tr>
        <w:trPr>
          <w:cantSplit/>
          <w:tblHeader/>
        </w:trPr>
        <w:tc>
          <w:tcPr>
            <w:tcW w:type="dxa" w:w="4680"/>
            <w:shd w:fill="EDEAE4" w:color="auto" w:val="clear"/>
            <w:tcMar>
              <w:top w:type="dxa" w:w="80"/>
              <w:left w:type="dxa" w:w="120"/>
              <w:bottom w:type="dxa" w:w="80"/>
              <w:right w:type="dxa" w:w="120"/>
            </w:tcMar>
          </w:tcPr>
          <w:p>
            <w:pPr>
              <w:spacing w:after="60" w:before="60" w:line="260"/>
            </w:pPr>
            <w:r>
              <w:rPr>
                <w:b/>
                <w:bCs/>
                <w:sz w:val="19"/>
                <w:szCs w:val="19"/>
              </w:rPr>
              <w:t xml:space="preserve">Component</w:t>
            </w:r>
          </w:p>
        </w:tc>
        <w:tc>
          <w:tcPr>
            <w:tcW w:type="dxa" w:w="3200"/>
            <w:shd w:fill="EDEAE4" w:color="auto" w:val="clear"/>
            <w:tcMar>
              <w:top w:type="dxa" w:w="80"/>
              <w:left w:type="dxa" w:w="120"/>
              <w:bottom w:type="dxa" w:w="80"/>
              <w:right w:type="dxa" w:w="120"/>
            </w:tcMar>
          </w:tcPr>
          <w:p>
            <w:pPr>
              <w:spacing w:after="60" w:before="60" w:line="260"/>
            </w:pPr>
            <w:r>
              <w:rPr>
                <w:b/>
                <w:bCs/>
                <w:sz w:val="19"/>
                <w:szCs w:val="19"/>
              </w:rPr>
              <w:t xml:space="preserve">Unit</w:t>
            </w:r>
          </w:p>
        </w:tc>
        <w:tc>
          <w:tcPr>
            <w:tcW w:type="dxa" w:w="2200"/>
            <w:shd w:fill="EDEAE4" w:color="auto" w:val="clear"/>
            <w:tcMar>
              <w:top w:type="dxa" w:w="80"/>
              <w:left w:type="dxa" w:w="120"/>
              <w:bottom w:type="dxa" w:w="80"/>
              <w:right w:type="dxa" w:w="120"/>
            </w:tcMar>
          </w:tcPr>
          <w:p>
            <w:pPr>
              <w:spacing w:after="60" w:before="60" w:line="260"/>
            </w:pPr>
            <w:r>
              <w:rPr>
                <w:b/>
                <w:bCs/>
                <w:sz w:val="19"/>
                <w:szCs w:val="19"/>
              </w:rPr>
              <w:t xml:space="preserve">List price (EUR, ex-VAT)</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Platform fee</w:t>
            </w:r>
          </w:p>
        </w:tc>
        <w:tc>
          <w:tcPr>
            <w:tcW w:type="dxa" w:w="3200"/>
            <w:tcMar>
              <w:top w:type="dxa" w:w="80"/>
              <w:left w:type="dxa" w:w="120"/>
              <w:bottom w:type="dxa" w:w="80"/>
              <w:right w:type="dxa" w:w="120"/>
            </w:tcMar>
          </w:tcPr>
          <w:p>
            <w:pPr>
              <w:spacing w:after="60" w:before="60" w:line="260"/>
            </w:pPr>
            <w:r>
              <w:rPr>
                <w:sz w:val="19"/>
                <w:szCs w:val="19"/>
              </w:rPr>
              <w:t xml:space="preserve">per customer / year</w:t>
            </w:r>
          </w:p>
        </w:tc>
        <w:tc>
          <w:tcPr>
            <w:tcW w:type="dxa" w:w="2200"/>
            <w:tcMar>
              <w:top w:type="dxa" w:w="80"/>
              <w:left w:type="dxa" w:w="120"/>
              <w:bottom w:type="dxa" w:w="80"/>
              <w:right w:type="dxa" w:w="120"/>
            </w:tcMar>
          </w:tcPr>
          <w:p>
            <w:pPr>
              <w:spacing w:after="60" w:before="60" w:line="260"/>
            </w:pPr>
            <w:r>
              <w:rPr>
                <w:sz w:val="19"/>
                <w:szCs w:val="19"/>
              </w:rPr>
              <w:t xml:space="preserve">12,000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Core AI Worker (Rate Manager, Track &amp; Trace)</w:t>
            </w:r>
          </w:p>
        </w:tc>
        <w:tc>
          <w:tcPr>
            <w:tcW w:type="dxa" w:w="3200"/>
            <w:tcMar>
              <w:top w:type="dxa" w:w="80"/>
              <w:left w:type="dxa" w:w="120"/>
              <w:bottom w:type="dxa" w:w="80"/>
              <w:right w:type="dxa" w:w="120"/>
            </w:tcMar>
          </w:tcPr>
          <w:p>
            <w:pPr>
              <w:spacing w:after="60" w:before="60" w:line="260"/>
            </w:pPr>
            <w:r>
              <w:rPr>
                <w:sz w:val="19"/>
                <w:szCs w:val="19"/>
              </w:rPr>
              <w:t xml:space="preserve">per Worker / year</w:t>
            </w:r>
          </w:p>
        </w:tc>
        <w:tc>
          <w:tcPr>
            <w:tcW w:type="dxa" w:w="2200"/>
            <w:tcMar>
              <w:top w:type="dxa" w:w="80"/>
              <w:left w:type="dxa" w:w="120"/>
              <w:bottom w:type="dxa" w:w="80"/>
              <w:right w:type="dxa" w:w="120"/>
            </w:tcMar>
          </w:tcPr>
          <w:p>
            <w:pPr>
              <w:spacing w:after="60" w:before="60" w:line="260"/>
            </w:pPr>
            <w:r>
              <w:rPr>
                <w:sz w:val="19"/>
                <w:szCs w:val="19"/>
              </w:rPr>
              <w:t xml:space="preserve">18,000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Extended AI Worker (Invoice reconciliation, After-hours, DocuMind)</w:t>
            </w:r>
          </w:p>
        </w:tc>
        <w:tc>
          <w:tcPr>
            <w:tcW w:type="dxa" w:w="3200"/>
            <w:tcMar>
              <w:top w:type="dxa" w:w="80"/>
              <w:left w:type="dxa" w:w="120"/>
              <w:bottom w:type="dxa" w:w="80"/>
              <w:right w:type="dxa" w:w="120"/>
            </w:tcMar>
          </w:tcPr>
          <w:p>
            <w:pPr>
              <w:spacing w:after="60" w:before="60" w:line="260"/>
            </w:pPr>
            <w:r>
              <w:rPr>
                <w:sz w:val="19"/>
                <w:szCs w:val="19"/>
              </w:rPr>
              <w:t xml:space="preserve">per Worker / year</w:t>
            </w:r>
          </w:p>
        </w:tc>
        <w:tc>
          <w:tcPr>
            <w:tcW w:type="dxa" w:w="2200"/>
            <w:tcMar>
              <w:top w:type="dxa" w:w="80"/>
              <w:left w:type="dxa" w:w="120"/>
              <w:bottom w:type="dxa" w:w="80"/>
              <w:right w:type="dxa" w:w="120"/>
            </w:tcMar>
          </w:tcPr>
          <w:p>
            <w:pPr>
              <w:spacing w:after="60" w:before="60" w:line="260"/>
            </w:pPr>
            <w:r>
              <w:rPr>
                <w:sz w:val="19"/>
                <w:szCs w:val="19"/>
              </w:rPr>
              <w:t xml:space="preserve">12,000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Included transactions per Core Worker</w:t>
            </w:r>
          </w:p>
        </w:tc>
        <w:tc>
          <w:tcPr>
            <w:tcW w:type="dxa" w:w="3200"/>
            <w:tcMar>
              <w:top w:type="dxa" w:w="80"/>
              <w:left w:type="dxa" w:w="120"/>
              <w:bottom w:type="dxa" w:w="80"/>
              <w:right w:type="dxa" w:w="120"/>
            </w:tcMar>
          </w:tcPr>
          <w:p>
            <w:pPr>
              <w:spacing w:after="60" w:before="60" w:line="260"/>
            </w:pPr>
            <w:r>
              <w:rPr>
                <w:sz w:val="19"/>
                <w:szCs w:val="19"/>
              </w:rPr>
              <w:t xml:space="preserve">per Worker / year</w:t>
            </w:r>
          </w:p>
        </w:tc>
        <w:tc>
          <w:tcPr>
            <w:tcW w:type="dxa" w:w="2200"/>
            <w:tcMar>
              <w:top w:type="dxa" w:w="80"/>
              <w:left w:type="dxa" w:w="120"/>
              <w:bottom w:type="dxa" w:w="80"/>
              <w:right w:type="dxa" w:w="120"/>
            </w:tcMar>
          </w:tcPr>
          <w:p>
            <w:pPr>
              <w:spacing w:after="60" w:before="60" w:line="260"/>
            </w:pPr>
            <w:r>
              <w:rPr>
                <w:sz w:val="19"/>
                <w:szCs w:val="19"/>
              </w:rPr>
              <w:t xml:space="preserve">9,000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Overage above the included band</w:t>
            </w:r>
          </w:p>
        </w:tc>
        <w:tc>
          <w:tcPr>
            <w:tcW w:type="dxa" w:w="3200"/>
            <w:tcMar>
              <w:top w:type="dxa" w:w="80"/>
              <w:left w:type="dxa" w:w="120"/>
              <w:bottom w:type="dxa" w:w="80"/>
              <w:right w:type="dxa" w:w="120"/>
            </w:tcMar>
          </w:tcPr>
          <w:p>
            <w:pPr>
              <w:spacing w:after="60" w:before="60" w:line="260"/>
            </w:pPr>
            <w:r>
              <w:rPr>
                <w:sz w:val="19"/>
                <w:szCs w:val="19"/>
              </w:rPr>
              <w:t xml:space="preserve">per transaction</w:t>
            </w:r>
          </w:p>
        </w:tc>
        <w:tc>
          <w:tcPr>
            <w:tcW w:type="dxa" w:w="2200"/>
            <w:tcMar>
              <w:top w:type="dxa" w:w="80"/>
              <w:left w:type="dxa" w:w="120"/>
              <w:bottom w:type="dxa" w:w="80"/>
              <w:right w:type="dxa" w:w="120"/>
            </w:tcMar>
          </w:tcPr>
          <w:p>
            <w:pPr>
              <w:spacing w:after="60" w:before="60" w:line="260"/>
            </w:pPr>
            <w:r>
              <w:rPr>
                <w:sz w:val="19"/>
                <w:szCs w:val="19"/>
              </w:rPr>
              <w:t xml:space="preserve">1.20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Onboarding and deployment, first Worker</w:t>
            </w:r>
          </w:p>
        </w:tc>
        <w:tc>
          <w:tcPr>
            <w:tcW w:type="dxa" w:w="3200"/>
            <w:tcMar>
              <w:top w:type="dxa" w:w="80"/>
              <w:left w:type="dxa" w:w="120"/>
              <w:bottom w:type="dxa" w:w="80"/>
              <w:right w:type="dxa" w:w="120"/>
            </w:tcMar>
          </w:tcPr>
          <w:p>
            <w:pPr>
              <w:spacing w:after="60" w:before="60" w:line="260"/>
            </w:pPr>
            <w:r>
              <w:rPr>
                <w:sz w:val="19"/>
                <w:szCs w:val="19"/>
              </w:rPr>
              <w:t xml:space="preserve">one-off</w:t>
            </w:r>
          </w:p>
        </w:tc>
        <w:tc>
          <w:tcPr>
            <w:tcW w:type="dxa" w:w="2200"/>
            <w:tcMar>
              <w:top w:type="dxa" w:w="80"/>
              <w:left w:type="dxa" w:w="120"/>
              <w:bottom w:type="dxa" w:w="80"/>
              <w:right w:type="dxa" w:w="120"/>
            </w:tcMar>
          </w:tcPr>
          <w:p>
            <w:pPr>
              <w:spacing w:after="60" w:before="60" w:line="260"/>
            </w:pPr>
            <w:r>
              <w:rPr>
                <w:sz w:val="19"/>
                <w:szCs w:val="19"/>
              </w:rPr>
              <w:t xml:space="preserve">9,500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Additional site or legal entity onboarding</w:t>
            </w:r>
          </w:p>
        </w:tc>
        <w:tc>
          <w:tcPr>
            <w:tcW w:type="dxa" w:w="3200"/>
            <w:tcMar>
              <w:top w:type="dxa" w:w="80"/>
              <w:left w:type="dxa" w:w="120"/>
              <w:bottom w:type="dxa" w:w="80"/>
              <w:right w:type="dxa" w:w="120"/>
            </w:tcMar>
          </w:tcPr>
          <w:p>
            <w:pPr>
              <w:spacing w:after="60" w:before="60" w:line="260"/>
            </w:pPr>
            <w:r>
              <w:rPr>
                <w:sz w:val="19"/>
                <w:szCs w:val="19"/>
              </w:rPr>
              <w:t xml:space="preserve">one-off</w:t>
            </w:r>
          </w:p>
        </w:tc>
        <w:tc>
          <w:tcPr>
            <w:tcW w:type="dxa" w:w="2200"/>
            <w:tcMar>
              <w:top w:type="dxa" w:w="80"/>
              <w:left w:type="dxa" w:w="120"/>
              <w:bottom w:type="dxa" w:w="80"/>
              <w:right w:type="dxa" w:w="120"/>
            </w:tcMar>
          </w:tcPr>
          <w:p>
            <w:pPr>
              <w:spacing w:after="60" w:before="60" w:line="260"/>
            </w:pPr>
            <w:r>
              <w:rPr>
                <w:sz w:val="19"/>
                <w:szCs w:val="19"/>
              </w:rPr>
              <w:t xml:space="preserve">4,500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Paid pilot — 1 Worker, 3 months, credited on conversion</w:t>
            </w:r>
          </w:p>
        </w:tc>
        <w:tc>
          <w:tcPr>
            <w:tcW w:type="dxa" w:w="3200"/>
            <w:tcMar>
              <w:top w:type="dxa" w:w="80"/>
              <w:left w:type="dxa" w:w="120"/>
              <w:bottom w:type="dxa" w:w="80"/>
              <w:right w:type="dxa" w:w="120"/>
            </w:tcMar>
          </w:tcPr>
          <w:p>
            <w:pPr>
              <w:spacing w:after="60" w:before="60" w:line="260"/>
            </w:pPr>
            <w:r>
              <w:rPr>
                <w:sz w:val="19"/>
                <w:szCs w:val="19"/>
              </w:rPr>
              <w:t xml:space="preserve">fixed</w:t>
            </w:r>
          </w:p>
        </w:tc>
        <w:tc>
          <w:tcPr>
            <w:tcW w:type="dxa" w:w="2200"/>
            <w:tcMar>
              <w:top w:type="dxa" w:w="80"/>
              <w:left w:type="dxa" w:w="120"/>
              <w:bottom w:type="dxa" w:w="80"/>
              <w:right w:type="dxa" w:w="120"/>
            </w:tcMar>
          </w:tcPr>
          <w:p>
            <w:pPr>
              <w:spacing w:after="60" w:before="60" w:line="260"/>
            </w:pPr>
            <w:r>
              <w:rPr>
                <w:sz w:val="19"/>
                <w:szCs w:val="19"/>
              </w:rPr>
              <w:t xml:space="preserve">9,500</w:t>
            </w:r>
          </w:p>
        </w:tc>
      </w:tr>
    </w:tbl>
    <w:p>
      <w:pPr>
        <w:spacing w:after="160"/>
      </w:pPr>
    </w:p>
    <w:p>
      <w:pPr>
        <w:spacing w:after="140" w:line="276"/>
      </w:pPr>
      <w:r>
        <w:rPr>
          <w:b/>
          <w:bCs/>
        </w:rPr>
        <w:t xml:space="preserve">Check figure: </w:t>
      </w:r>
      <w:r>
        <w:t xml:space="preserve">at the included volume the implied price is €2.00 per transaction. A sophisticated buyer will compute this. It sits at the top of the US$0.50–2.00 outcome-based benchmark, which is defensible because a freight quote carries far more margin than a customer-support resolution — but have the answer ready before the question is asked.</w:t>
      </w:r>
    </w:p>
    <w:p>
      <w:pPr>
        <w:pStyle w:val="Heading2"/>
        <w:spacing w:after="120" w:before="260"/>
      </w:pPr>
      <w:r>
        <w:t xml:space="preserve">12.4 Packages and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800"/>
        <w:gridCol w:w="1800"/>
      </w:tblGrid>
      <w:tr>
        <w:trPr>
          <w:cantSplit/>
          <w:tblHeader/>
        </w:trPr>
        <w:tc>
          <w:tcPr>
            <w:tcW w:type="dxa" w:w="2880"/>
            <w:shd w:fill="EDEAE4" w:color="auto" w:val="clear"/>
            <w:tcMar>
              <w:top w:type="dxa" w:w="80"/>
              <w:left w:type="dxa" w:w="120"/>
              <w:bottom w:type="dxa" w:w="80"/>
              <w:right w:type="dxa" w:w="120"/>
            </w:tcMar>
          </w:tcPr>
          <w:p>
            <w:pPr>
              <w:spacing w:after="60" w:before="60" w:line="260"/>
            </w:pPr>
            <w:r>
              <w:rPr>
                <w:b/>
                <w:bCs/>
                <w:sz w:val="19"/>
                <w:szCs w:val="19"/>
              </w:rPr>
              <w:t xml:space="preserve">Metric</w:t>
            </w:r>
          </w:p>
        </w:tc>
        <w:tc>
          <w:tcPr>
            <w:tcW w:type="dxa" w:w="1800"/>
            <w:shd w:fill="EDEAE4" w:color="auto" w:val="clear"/>
            <w:tcMar>
              <w:top w:type="dxa" w:w="80"/>
              <w:left w:type="dxa" w:w="120"/>
              <w:bottom w:type="dxa" w:w="80"/>
              <w:right w:type="dxa" w:w="120"/>
            </w:tcMar>
          </w:tcPr>
          <w:p>
            <w:pPr>
              <w:spacing w:after="60" w:before="60" w:line="260"/>
            </w:pPr>
            <w:r>
              <w:rPr>
                <w:b/>
                <w:bCs/>
                <w:sz w:val="19"/>
                <w:szCs w:val="19"/>
              </w:rPr>
              <w:t xml:space="preserve">Pilot</w:t>
            </w:r>
          </w:p>
        </w:tc>
        <w:tc>
          <w:tcPr>
            <w:tcW w:type="dxa" w:w="1800"/>
            <w:shd w:fill="EDEAE4" w:color="auto" w:val="clear"/>
            <w:tcMar>
              <w:top w:type="dxa" w:w="80"/>
              <w:left w:type="dxa" w:w="120"/>
              <w:bottom w:type="dxa" w:w="80"/>
              <w:right w:type="dxa" w:w="120"/>
            </w:tcMar>
          </w:tcPr>
          <w:p>
            <w:pPr>
              <w:spacing w:after="60" w:before="60" w:line="260"/>
            </w:pPr>
            <w:r>
              <w:rPr>
                <w:b/>
                <w:bCs/>
                <w:sz w:val="19"/>
                <w:szCs w:val="19"/>
              </w:rPr>
              <w:t xml:space="preserve">Launch</w:t>
            </w:r>
          </w:p>
        </w:tc>
        <w:tc>
          <w:tcPr>
            <w:tcW w:type="dxa" w:w="1800"/>
            <w:shd w:fill="EDEAE4" w:color="auto" w:val="clear"/>
            <w:tcMar>
              <w:top w:type="dxa" w:w="80"/>
              <w:left w:type="dxa" w:w="120"/>
              <w:bottom w:type="dxa" w:w="80"/>
              <w:right w:type="dxa" w:w="120"/>
            </w:tcMar>
          </w:tcPr>
          <w:p>
            <w:pPr>
              <w:spacing w:after="60" w:before="60" w:line="260"/>
            </w:pPr>
            <w:r>
              <w:rPr>
                <w:b/>
                <w:bCs/>
                <w:sz w:val="19"/>
                <w:szCs w:val="19"/>
              </w:rPr>
              <w:t xml:space="preserve">Scale</w:t>
            </w:r>
          </w:p>
        </w:tc>
        <w:tc>
          <w:tcPr>
            <w:tcW w:type="dxa" w:w="1800"/>
            <w:shd w:fill="EDEAE4" w:color="auto" w:val="clear"/>
            <w:tcMar>
              <w:top w:type="dxa" w:w="80"/>
              <w:left w:type="dxa" w:w="120"/>
              <w:bottom w:type="dxa" w:w="80"/>
              <w:right w:type="dxa" w:w="120"/>
            </w:tcMar>
          </w:tcPr>
          <w:p>
            <w:pPr>
              <w:spacing w:after="60" w:before="60" w:line="260"/>
            </w:pPr>
            <w:r>
              <w:rPr>
                <w:b/>
                <w:bCs/>
                <w:sz w:val="19"/>
                <w:szCs w:val="19"/>
              </w:rPr>
              <w:t xml:space="preserve">Enterprise</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Term</w:t>
            </w:r>
          </w:p>
        </w:tc>
        <w:tc>
          <w:tcPr>
            <w:tcW w:type="dxa" w:w="1800"/>
            <w:tcMar>
              <w:top w:type="dxa" w:w="80"/>
              <w:left w:type="dxa" w:w="120"/>
              <w:bottom w:type="dxa" w:w="80"/>
              <w:right w:type="dxa" w:w="120"/>
            </w:tcMar>
          </w:tcPr>
          <w:p>
            <w:pPr>
              <w:spacing w:after="60" w:before="60" w:line="260"/>
            </w:pPr>
            <w:r>
              <w:rPr>
                <w:sz w:val="19"/>
                <w:szCs w:val="19"/>
              </w:rPr>
              <w:t xml:space="preserve">3 months</w:t>
            </w:r>
          </w:p>
        </w:tc>
        <w:tc>
          <w:tcPr>
            <w:tcW w:type="dxa" w:w="1800"/>
            <w:tcMar>
              <w:top w:type="dxa" w:w="80"/>
              <w:left w:type="dxa" w:w="120"/>
              <w:bottom w:type="dxa" w:w="80"/>
              <w:right w:type="dxa" w:w="120"/>
            </w:tcMar>
          </w:tcPr>
          <w:p>
            <w:pPr>
              <w:spacing w:after="60" w:before="60" w:line="260"/>
            </w:pPr>
            <w:r>
              <w:rPr>
                <w:sz w:val="19"/>
                <w:szCs w:val="19"/>
              </w:rPr>
              <w:t xml:space="preserve">12 months</w:t>
            </w:r>
          </w:p>
        </w:tc>
        <w:tc>
          <w:tcPr>
            <w:tcW w:type="dxa" w:w="1800"/>
            <w:tcMar>
              <w:top w:type="dxa" w:w="80"/>
              <w:left w:type="dxa" w:w="120"/>
              <w:bottom w:type="dxa" w:w="80"/>
              <w:right w:type="dxa" w:w="120"/>
            </w:tcMar>
          </w:tcPr>
          <w:p>
            <w:pPr>
              <w:spacing w:after="60" w:before="60" w:line="260"/>
            </w:pPr>
            <w:r>
              <w:rPr>
                <w:sz w:val="19"/>
                <w:szCs w:val="19"/>
              </w:rPr>
              <w:t xml:space="preserve">12 months</w:t>
            </w:r>
          </w:p>
        </w:tc>
        <w:tc>
          <w:tcPr>
            <w:tcW w:type="dxa" w:w="1800"/>
            <w:tcMar>
              <w:top w:type="dxa" w:w="80"/>
              <w:left w:type="dxa" w:w="120"/>
              <w:bottom w:type="dxa" w:w="80"/>
              <w:right w:type="dxa" w:w="120"/>
            </w:tcMar>
          </w:tcPr>
          <w:p>
            <w:pPr>
              <w:spacing w:after="60" w:before="60" w:line="260"/>
            </w:pPr>
            <w:r>
              <w:rPr>
                <w:sz w:val="19"/>
                <w:szCs w:val="19"/>
              </w:rPr>
              <w:t xml:space="preserve">12 months</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Core Workers</w:t>
            </w:r>
          </w:p>
        </w:tc>
        <w:tc>
          <w:tcPr>
            <w:tcW w:type="dxa" w:w="1800"/>
            <w:tcMar>
              <w:top w:type="dxa" w:w="80"/>
              <w:left w:type="dxa" w:w="120"/>
              <w:bottom w:type="dxa" w:w="80"/>
              <w:right w:type="dxa" w:w="120"/>
            </w:tcMar>
          </w:tcPr>
          <w:p>
            <w:pPr>
              <w:spacing w:after="60" w:before="60" w:line="260"/>
            </w:pPr>
            <w:r>
              <w:rPr>
                <w:sz w:val="19"/>
                <w:szCs w:val="19"/>
              </w:rPr>
              <w:t xml:space="preserve">1</w:t>
            </w:r>
          </w:p>
        </w:tc>
        <w:tc>
          <w:tcPr>
            <w:tcW w:type="dxa" w:w="1800"/>
            <w:tcMar>
              <w:top w:type="dxa" w:w="80"/>
              <w:left w:type="dxa" w:w="120"/>
              <w:bottom w:type="dxa" w:w="80"/>
              <w:right w:type="dxa" w:w="120"/>
            </w:tcMar>
          </w:tcPr>
          <w:p>
            <w:pPr>
              <w:spacing w:after="60" w:before="60" w:line="260"/>
            </w:pPr>
            <w:r>
              <w:rPr>
                <w:sz w:val="19"/>
                <w:szCs w:val="19"/>
              </w:rPr>
              <w:t xml:space="preserve">1</w:t>
            </w:r>
          </w:p>
        </w:tc>
        <w:tc>
          <w:tcPr>
            <w:tcW w:type="dxa" w:w="1800"/>
            <w:tcMar>
              <w:top w:type="dxa" w:w="80"/>
              <w:left w:type="dxa" w:w="120"/>
              <w:bottom w:type="dxa" w:w="80"/>
              <w:right w:type="dxa" w:w="120"/>
            </w:tcMar>
          </w:tcPr>
          <w:p>
            <w:pPr>
              <w:spacing w:after="60" w:before="60" w:line="260"/>
            </w:pPr>
            <w:r>
              <w:rPr>
                <w:sz w:val="19"/>
                <w:szCs w:val="19"/>
              </w:rPr>
              <w:t xml:space="preserve">2</w:t>
            </w:r>
          </w:p>
        </w:tc>
        <w:tc>
          <w:tcPr>
            <w:tcW w:type="dxa" w:w="1800"/>
            <w:tcMar>
              <w:top w:type="dxa" w:w="80"/>
              <w:left w:type="dxa" w:w="120"/>
              <w:bottom w:type="dxa" w:w="80"/>
              <w:right w:type="dxa" w:w="120"/>
            </w:tcMar>
          </w:tcPr>
          <w:p>
            <w:pPr>
              <w:spacing w:after="60" w:before="60" w:line="260"/>
            </w:pPr>
            <w:r>
              <w:rPr>
                <w:sz w:val="19"/>
                <w:szCs w:val="19"/>
              </w:rPr>
              <w:t xml:space="preserve">4</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Extended Workers</w:t>
            </w:r>
          </w:p>
        </w:tc>
        <w:tc>
          <w:tcPr>
            <w:tcW w:type="dxa" w:w="1800"/>
            <w:tcMar>
              <w:top w:type="dxa" w:w="80"/>
              <w:left w:type="dxa" w:w="120"/>
              <w:bottom w:type="dxa" w:w="80"/>
              <w:right w:type="dxa" w:w="120"/>
            </w:tcMar>
          </w:tcPr>
          <w:p>
            <w:pPr>
              <w:spacing w:after="60" w:before="60" w:line="260"/>
            </w:pPr>
            <w:r>
              <w:rPr>
                <w:sz w:val="19"/>
                <w:szCs w:val="19"/>
              </w:rPr>
              <w:t xml:space="preserve">0</w:t>
            </w:r>
          </w:p>
        </w:tc>
        <w:tc>
          <w:tcPr>
            <w:tcW w:type="dxa" w:w="1800"/>
            <w:tcMar>
              <w:top w:type="dxa" w:w="80"/>
              <w:left w:type="dxa" w:w="120"/>
              <w:bottom w:type="dxa" w:w="80"/>
              <w:right w:type="dxa" w:w="120"/>
            </w:tcMar>
          </w:tcPr>
          <w:p>
            <w:pPr>
              <w:spacing w:after="60" w:before="60" w:line="260"/>
            </w:pPr>
            <w:r>
              <w:rPr>
                <w:sz w:val="19"/>
                <w:szCs w:val="19"/>
              </w:rPr>
              <w:t xml:space="preserve">0</w:t>
            </w:r>
          </w:p>
        </w:tc>
        <w:tc>
          <w:tcPr>
            <w:tcW w:type="dxa" w:w="1800"/>
            <w:tcMar>
              <w:top w:type="dxa" w:w="80"/>
              <w:left w:type="dxa" w:w="120"/>
              <w:bottom w:type="dxa" w:w="80"/>
              <w:right w:type="dxa" w:w="120"/>
            </w:tcMar>
          </w:tcPr>
          <w:p>
            <w:pPr>
              <w:spacing w:after="60" w:before="60" w:line="260"/>
            </w:pPr>
            <w:r>
              <w:rPr>
                <w:sz w:val="19"/>
                <w:szCs w:val="19"/>
              </w:rPr>
              <w:t xml:space="preserve">1</w:t>
            </w:r>
          </w:p>
        </w:tc>
        <w:tc>
          <w:tcPr>
            <w:tcW w:type="dxa" w:w="1800"/>
            <w:tcMar>
              <w:top w:type="dxa" w:w="80"/>
              <w:left w:type="dxa" w:w="120"/>
              <w:bottom w:type="dxa" w:w="80"/>
              <w:right w:type="dxa" w:w="120"/>
            </w:tcMar>
          </w:tcPr>
          <w:p>
            <w:pPr>
              <w:spacing w:after="60" w:before="60" w:line="260"/>
            </w:pPr>
            <w:r>
              <w:rPr>
                <w:sz w:val="19"/>
                <w:szCs w:val="19"/>
              </w:rPr>
              <w:t xml:space="preserve">2</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Ops FTE-equivalents covered</w:t>
            </w:r>
          </w:p>
        </w:tc>
        <w:tc>
          <w:tcPr>
            <w:tcW w:type="dxa" w:w="1800"/>
            <w:tcMar>
              <w:top w:type="dxa" w:w="80"/>
              <w:left w:type="dxa" w:w="120"/>
              <w:bottom w:type="dxa" w:w="80"/>
              <w:right w:type="dxa" w:w="120"/>
            </w:tcMar>
          </w:tcPr>
          <w:p>
            <w:pPr>
              <w:spacing w:after="60" w:before="60" w:line="260"/>
            </w:pPr>
            <w:r>
              <w:rPr>
                <w:sz w:val="19"/>
                <w:szCs w:val="19"/>
              </w:rPr>
              <w:t xml:space="preserve">2.0</w:t>
            </w:r>
          </w:p>
        </w:tc>
        <w:tc>
          <w:tcPr>
            <w:tcW w:type="dxa" w:w="1800"/>
            <w:tcMar>
              <w:top w:type="dxa" w:w="80"/>
              <w:left w:type="dxa" w:w="120"/>
              <w:bottom w:type="dxa" w:w="80"/>
              <w:right w:type="dxa" w:w="120"/>
            </w:tcMar>
          </w:tcPr>
          <w:p>
            <w:pPr>
              <w:spacing w:after="60" w:before="60" w:line="260"/>
            </w:pPr>
            <w:r>
              <w:rPr>
                <w:sz w:val="19"/>
                <w:szCs w:val="19"/>
              </w:rPr>
              <w:t xml:space="preserve">2.0</w:t>
            </w:r>
          </w:p>
        </w:tc>
        <w:tc>
          <w:tcPr>
            <w:tcW w:type="dxa" w:w="1800"/>
            <w:tcMar>
              <w:top w:type="dxa" w:w="80"/>
              <w:left w:type="dxa" w:w="120"/>
              <w:bottom w:type="dxa" w:w="80"/>
              <w:right w:type="dxa" w:w="120"/>
            </w:tcMar>
          </w:tcPr>
          <w:p>
            <w:pPr>
              <w:spacing w:after="60" w:before="60" w:line="260"/>
            </w:pPr>
            <w:r>
              <w:rPr>
                <w:sz w:val="19"/>
                <w:szCs w:val="19"/>
              </w:rPr>
              <w:t xml:space="preserve">5.0</w:t>
            </w:r>
          </w:p>
        </w:tc>
        <w:tc>
          <w:tcPr>
            <w:tcW w:type="dxa" w:w="1800"/>
            <w:tcMar>
              <w:top w:type="dxa" w:w="80"/>
              <w:left w:type="dxa" w:w="120"/>
              <w:bottom w:type="dxa" w:w="80"/>
              <w:right w:type="dxa" w:w="120"/>
            </w:tcMar>
          </w:tcPr>
          <w:p>
            <w:pPr>
              <w:spacing w:after="60" w:before="60" w:line="260"/>
            </w:pPr>
            <w:r>
              <w:rPr>
                <w:sz w:val="19"/>
                <w:szCs w:val="19"/>
              </w:rPr>
              <w:t xml:space="preserve">10.0</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Contract value over term</w:t>
            </w:r>
          </w:p>
        </w:tc>
        <w:tc>
          <w:tcPr>
            <w:tcW w:type="dxa" w:w="1800"/>
            <w:tcMar>
              <w:top w:type="dxa" w:w="80"/>
              <w:left w:type="dxa" w:w="120"/>
              <w:bottom w:type="dxa" w:w="80"/>
              <w:right w:type="dxa" w:w="120"/>
            </w:tcMar>
          </w:tcPr>
          <w:p>
            <w:pPr>
              <w:spacing w:after="60" w:before="60" w:line="260"/>
            </w:pPr>
            <w:r>
              <w:rPr>
                <w:sz w:val="19"/>
                <w:szCs w:val="19"/>
              </w:rPr>
              <w:t xml:space="preserve">€9,500</w:t>
            </w:r>
          </w:p>
        </w:tc>
        <w:tc>
          <w:tcPr>
            <w:tcW w:type="dxa" w:w="1800"/>
            <w:tcMar>
              <w:top w:type="dxa" w:w="80"/>
              <w:left w:type="dxa" w:w="120"/>
              <w:bottom w:type="dxa" w:w="80"/>
              <w:right w:type="dxa" w:w="120"/>
            </w:tcMar>
          </w:tcPr>
          <w:p>
            <w:pPr>
              <w:spacing w:after="60" w:before="60" w:line="260"/>
            </w:pPr>
            <w:r>
              <w:rPr>
                <w:sz w:val="19"/>
                <w:szCs w:val="19"/>
              </w:rPr>
              <w:t xml:space="preserve">€30,000</w:t>
            </w:r>
          </w:p>
        </w:tc>
        <w:tc>
          <w:tcPr>
            <w:tcW w:type="dxa" w:w="1800"/>
            <w:tcMar>
              <w:top w:type="dxa" w:w="80"/>
              <w:left w:type="dxa" w:w="120"/>
              <w:bottom w:type="dxa" w:w="80"/>
              <w:right w:type="dxa" w:w="120"/>
            </w:tcMar>
          </w:tcPr>
          <w:p>
            <w:pPr>
              <w:spacing w:after="60" w:before="60" w:line="260"/>
            </w:pPr>
            <w:r>
              <w:rPr>
                <w:sz w:val="19"/>
                <w:szCs w:val="19"/>
              </w:rPr>
              <w:t xml:space="preserve">€60,000</w:t>
            </w:r>
          </w:p>
        </w:tc>
        <w:tc>
          <w:tcPr>
            <w:tcW w:type="dxa" w:w="1800"/>
            <w:tcMar>
              <w:top w:type="dxa" w:w="80"/>
              <w:left w:type="dxa" w:w="120"/>
              <w:bottom w:type="dxa" w:w="80"/>
              <w:right w:type="dxa" w:w="120"/>
            </w:tcMar>
          </w:tcPr>
          <w:p>
            <w:pPr>
              <w:spacing w:after="60" w:before="60" w:line="260"/>
            </w:pPr>
            <w:r>
              <w:rPr>
                <w:sz w:val="19"/>
                <w:szCs w:val="19"/>
              </w:rPr>
              <w:t xml:space="preserve">€108,000</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Value released over term</w:t>
            </w:r>
          </w:p>
        </w:tc>
        <w:tc>
          <w:tcPr>
            <w:tcW w:type="dxa" w:w="1800"/>
            <w:tcMar>
              <w:top w:type="dxa" w:w="80"/>
              <w:left w:type="dxa" w:w="120"/>
              <w:bottom w:type="dxa" w:w="80"/>
              <w:right w:type="dxa" w:w="120"/>
            </w:tcMar>
          </w:tcPr>
          <w:p>
            <w:pPr>
              <w:spacing w:after="60" w:before="60" w:line="260"/>
            </w:pPr>
            <w:r>
              <w:rPr>
                <w:sz w:val="19"/>
                <w:szCs w:val="19"/>
              </w:rPr>
              <w:t xml:space="preserve">€19,530</w:t>
            </w:r>
          </w:p>
        </w:tc>
        <w:tc>
          <w:tcPr>
            <w:tcW w:type="dxa" w:w="1800"/>
            <w:tcMar>
              <w:top w:type="dxa" w:w="80"/>
              <w:left w:type="dxa" w:w="120"/>
              <w:bottom w:type="dxa" w:w="80"/>
              <w:right w:type="dxa" w:w="120"/>
            </w:tcMar>
          </w:tcPr>
          <w:p>
            <w:pPr>
              <w:spacing w:after="60" w:before="60" w:line="260"/>
            </w:pPr>
            <w:r>
              <w:rPr>
                <w:sz w:val="19"/>
                <w:szCs w:val="19"/>
              </w:rPr>
              <w:t xml:space="preserve">€78,120</w:t>
            </w:r>
          </w:p>
        </w:tc>
        <w:tc>
          <w:tcPr>
            <w:tcW w:type="dxa" w:w="1800"/>
            <w:tcMar>
              <w:top w:type="dxa" w:w="80"/>
              <w:left w:type="dxa" w:w="120"/>
              <w:bottom w:type="dxa" w:w="80"/>
              <w:right w:type="dxa" w:w="120"/>
            </w:tcMar>
          </w:tcPr>
          <w:p>
            <w:pPr>
              <w:spacing w:after="60" w:before="60" w:line="260"/>
            </w:pPr>
            <w:r>
              <w:rPr>
                <w:sz w:val="19"/>
                <w:szCs w:val="19"/>
              </w:rPr>
              <w:t xml:space="preserve">€195,300</w:t>
            </w:r>
          </w:p>
        </w:tc>
        <w:tc>
          <w:tcPr>
            <w:tcW w:type="dxa" w:w="1800"/>
            <w:tcMar>
              <w:top w:type="dxa" w:w="80"/>
              <w:left w:type="dxa" w:w="120"/>
              <w:bottom w:type="dxa" w:w="80"/>
              <w:right w:type="dxa" w:w="120"/>
            </w:tcMar>
          </w:tcPr>
          <w:p>
            <w:pPr>
              <w:spacing w:after="60" w:before="60" w:line="260"/>
            </w:pPr>
            <w:r>
              <w:rPr>
                <w:sz w:val="19"/>
                <w:szCs w:val="19"/>
              </w:rPr>
              <w:t xml:space="preserve">€390,600</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ROI multiple</w:t>
            </w:r>
          </w:p>
        </w:tc>
        <w:tc>
          <w:tcPr>
            <w:tcW w:type="dxa" w:w="1800"/>
            <w:tcMar>
              <w:top w:type="dxa" w:w="80"/>
              <w:left w:type="dxa" w:w="120"/>
              <w:bottom w:type="dxa" w:w="80"/>
              <w:right w:type="dxa" w:w="120"/>
            </w:tcMar>
          </w:tcPr>
          <w:p>
            <w:pPr>
              <w:spacing w:after="60" w:before="60" w:line="260"/>
            </w:pPr>
            <w:r>
              <w:rPr>
                <w:sz w:val="19"/>
                <w:szCs w:val="19"/>
              </w:rPr>
              <w:t xml:space="preserve">2.1x</w:t>
            </w:r>
          </w:p>
        </w:tc>
        <w:tc>
          <w:tcPr>
            <w:tcW w:type="dxa" w:w="1800"/>
            <w:tcMar>
              <w:top w:type="dxa" w:w="80"/>
              <w:left w:type="dxa" w:w="120"/>
              <w:bottom w:type="dxa" w:w="80"/>
              <w:right w:type="dxa" w:w="120"/>
            </w:tcMar>
          </w:tcPr>
          <w:p>
            <w:pPr>
              <w:spacing w:after="60" w:before="60" w:line="260"/>
            </w:pPr>
            <w:r>
              <w:rPr>
                <w:sz w:val="19"/>
                <w:szCs w:val="19"/>
              </w:rPr>
              <w:t xml:space="preserve">2.6x</w:t>
            </w:r>
          </w:p>
        </w:tc>
        <w:tc>
          <w:tcPr>
            <w:tcW w:type="dxa" w:w="1800"/>
            <w:tcMar>
              <w:top w:type="dxa" w:w="80"/>
              <w:left w:type="dxa" w:w="120"/>
              <w:bottom w:type="dxa" w:w="80"/>
              <w:right w:type="dxa" w:w="120"/>
            </w:tcMar>
          </w:tcPr>
          <w:p>
            <w:pPr>
              <w:spacing w:after="60" w:before="60" w:line="260"/>
            </w:pPr>
            <w:r>
              <w:rPr>
                <w:sz w:val="19"/>
                <w:szCs w:val="19"/>
              </w:rPr>
              <w:t xml:space="preserve">3.3x</w:t>
            </w:r>
          </w:p>
        </w:tc>
        <w:tc>
          <w:tcPr>
            <w:tcW w:type="dxa" w:w="1800"/>
            <w:tcMar>
              <w:top w:type="dxa" w:w="80"/>
              <w:left w:type="dxa" w:w="120"/>
              <w:bottom w:type="dxa" w:w="80"/>
              <w:right w:type="dxa" w:w="120"/>
            </w:tcMar>
          </w:tcPr>
          <w:p>
            <w:pPr>
              <w:spacing w:after="60" w:before="60" w:line="260"/>
            </w:pPr>
            <w:r>
              <w:rPr>
                <w:sz w:val="19"/>
                <w:szCs w:val="19"/>
              </w:rPr>
              <w:t xml:space="preserve">3.6x</w:t>
            </w:r>
          </w:p>
        </w:tc>
      </w:tr>
      <w:tr>
        <w:trPr>
          <w:cantSplit/>
        </w:trPr>
        <w:tc>
          <w:tcPr>
            <w:tcW w:type="dxa" w:w="2880"/>
            <w:tcMar>
              <w:top w:type="dxa" w:w="80"/>
              <w:left w:type="dxa" w:w="120"/>
              <w:bottom w:type="dxa" w:w="80"/>
              <w:right w:type="dxa" w:w="120"/>
            </w:tcMar>
          </w:tcPr>
          <w:p>
            <w:pPr>
              <w:spacing w:after="60" w:before="60" w:line="260"/>
            </w:pPr>
            <w:r>
              <w:rPr>
                <w:sz w:val="19"/>
                <w:szCs w:val="19"/>
              </w:rPr>
              <w:t xml:space="preserve">Payback</w:t>
            </w:r>
          </w:p>
        </w:tc>
        <w:tc>
          <w:tcPr>
            <w:tcW w:type="dxa" w:w="1800"/>
            <w:tcMar>
              <w:top w:type="dxa" w:w="80"/>
              <w:left w:type="dxa" w:w="120"/>
              <w:bottom w:type="dxa" w:w="80"/>
              <w:right w:type="dxa" w:w="120"/>
            </w:tcMar>
          </w:tcPr>
          <w:p>
            <w:pPr>
              <w:spacing w:after="60" w:before="60" w:line="260"/>
            </w:pPr>
            <w:r>
              <w:rPr>
                <w:sz w:val="19"/>
                <w:szCs w:val="19"/>
              </w:rPr>
              <w:t xml:space="preserve">1.5 months</w:t>
            </w:r>
          </w:p>
        </w:tc>
        <w:tc>
          <w:tcPr>
            <w:tcW w:type="dxa" w:w="1800"/>
            <w:tcMar>
              <w:top w:type="dxa" w:w="80"/>
              <w:left w:type="dxa" w:w="120"/>
              <w:bottom w:type="dxa" w:w="80"/>
              <w:right w:type="dxa" w:w="120"/>
            </w:tcMar>
          </w:tcPr>
          <w:p>
            <w:pPr>
              <w:spacing w:after="60" w:before="60" w:line="260"/>
            </w:pPr>
            <w:r>
              <w:rPr>
                <w:sz w:val="19"/>
                <w:szCs w:val="19"/>
              </w:rPr>
              <w:t xml:space="preserve">4.6 months</w:t>
            </w:r>
          </w:p>
        </w:tc>
        <w:tc>
          <w:tcPr>
            <w:tcW w:type="dxa" w:w="1800"/>
            <w:tcMar>
              <w:top w:type="dxa" w:w="80"/>
              <w:left w:type="dxa" w:w="120"/>
              <w:bottom w:type="dxa" w:w="80"/>
              <w:right w:type="dxa" w:w="120"/>
            </w:tcMar>
          </w:tcPr>
          <w:p>
            <w:pPr>
              <w:spacing w:after="60" w:before="60" w:line="260"/>
            </w:pPr>
            <w:r>
              <w:rPr>
                <w:sz w:val="19"/>
                <w:szCs w:val="19"/>
              </w:rPr>
              <w:t xml:space="preserve">3.7 months</w:t>
            </w:r>
          </w:p>
        </w:tc>
        <w:tc>
          <w:tcPr>
            <w:tcW w:type="dxa" w:w="1800"/>
            <w:tcMar>
              <w:top w:type="dxa" w:w="80"/>
              <w:left w:type="dxa" w:w="120"/>
              <w:bottom w:type="dxa" w:w="80"/>
              <w:right w:type="dxa" w:w="120"/>
            </w:tcMar>
          </w:tcPr>
          <w:p>
            <w:pPr>
              <w:spacing w:after="60" w:before="60" w:line="260"/>
            </w:pPr>
            <w:r>
              <w:rPr>
                <w:sz w:val="19"/>
                <w:szCs w:val="19"/>
              </w:rPr>
              <w:t xml:space="preserve">3.3 months</w:t>
            </w:r>
          </w:p>
        </w:tc>
      </w:tr>
    </w:tbl>
    <w:p>
      <w:pPr>
        <w:spacing w:after="160"/>
      </w:pPr>
    </w:p>
    <w:p>
      <w:pPr>
        <w:spacing w:after="140" w:line="276"/>
      </w:pPr>
      <w:r>
        <w:t xml:space="preserve">Onboarding is invoiced separately and should never be waived. The resulting 2.6–3.6x ROI is a number that survives scrutiny in a procurement review; the 15x currently claimed on the About page does not, and invites exactly the interrogation a seven-person vendor cannot afford.</w:t>
      </w:r>
    </w:p>
    <w:p>
      <w:pPr>
        <w:pStyle w:val="Heading2"/>
        <w:spacing w:after="120" w:before="260"/>
      </w:pPr>
      <w:r>
        <w:t xml:space="preserve">12.5 Commercial terms to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3180"/>
      </w:tblGrid>
      <w:tr>
        <w:trPr>
          <w:cantSplit/>
          <w:tblHeader/>
        </w:trPr>
        <w:tc>
          <w:tcPr>
            <w:tcW w:type="dxa" w:w="1700"/>
            <w:shd w:fill="EDEAE4" w:color="auto" w:val="clear"/>
            <w:tcMar>
              <w:top w:type="dxa" w:w="80"/>
              <w:left w:type="dxa" w:w="120"/>
              <w:bottom w:type="dxa" w:w="80"/>
              <w:right w:type="dxa" w:w="120"/>
            </w:tcMar>
          </w:tcPr>
          <w:p>
            <w:pPr>
              <w:spacing w:after="60" w:before="60" w:line="260"/>
            </w:pPr>
            <w:r>
              <w:rPr>
                <w:b/>
                <w:bCs/>
                <w:sz w:val="19"/>
                <w:szCs w:val="19"/>
              </w:rPr>
              <w:t xml:space="preserve">Term</w:t>
            </w:r>
          </w:p>
        </w:tc>
        <w:tc>
          <w:tcPr>
            <w:tcW w:type="dxa" w:w="2400"/>
            <w:shd w:fill="EDEAE4" w:color="auto" w:val="clear"/>
            <w:tcMar>
              <w:top w:type="dxa" w:w="80"/>
              <w:left w:type="dxa" w:w="120"/>
              <w:bottom w:type="dxa" w:w="80"/>
              <w:right w:type="dxa" w:w="120"/>
            </w:tcMar>
          </w:tcPr>
          <w:p>
            <w:pPr>
              <w:spacing w:after="60" w:before="60" w:line="260"/>
            </w:pPr>
            <w:r>
              <w:rPr>
                <w:b/>
                <w:bCs/>
                <w:sz w:val="19"/>
                <w:szCs w:val="19"/>
              </w:rPr>
              <w:t xml:space="preserve">Current</w:t>
            </w:r>
          </w:p>
        </w:tc>
        <w:tc>
          <w:tcPr>
            <w:tcW w:type="dxa" w:w="2800"/>
            <w:shd w:fill="EDEAE4" w:color="auto" w:val="clear"/>
            <w:tcMar>
              <w:top w:type="dxa" w:w="80"/>
              <w:left w:type="dxa" w:w="120"/>
              <w:bottom w:type="dxa" w:w="80"/>
              <w:right w:type="dxa" w:w="120"/>
            </w:tcMar>
          </w:tcPr>
          <w:p>
            <w:pPr>
              <w:spacing w:after="60" w:before="60" w:line="260"/>
            </w:pPr>
            <w:r>
              <w:rPr>
                <w:b/>
                <w:bCs/>
                <w:sz w:val="19"/>
                <w:szCs w:val="19"/>
              </w:rPr>
              <w:t xml:space="preserve">Recommended</w:t>
            </w:r>
          </w:p>
        </w:tc>
        <w:tc>
          <w:tcPr>
            <w:tcW w:type="dxa" w:w="3180"/>
            <w:shd w:fill="EDEAE4" w:color="auto" w:val="clear"/>
            <w:tcMar>
              <w:top w:type="dxa" w:w="80"/>
              <w:left w:type="dxa" w:w="120"/>
              <w:bottom w:type="dxa" w:w="80"/>
              <w:right w:type="dxa" w:w="120"/>
            </w:tcMar>
          </w:tcPr>
          <w:p>
            <w:pPr>
              <w:spacing w:after="60" w:before="60" w:line="260"/>
            </w:pPr>
            <w:r>
              <w:rPr>
                <w:b/>
                <w:bCs/>
                <w:sz w:val="19"/>
                <w:szCs w:val="19"/>
              </w:rPr>
              <w:t xml:space="preserve">Why</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Initial term</w:t>
            </w:r>
          </w:p>
        </w:tc>
        <w:tc>
          <w:tcPr>
            <w:tcW w:type="dxa" w:w="2400"/>
            <w:tcMar>
              <w:top w:type="dxa" w:w="80"/>
              <w:left w:type="dxa" w:w="120"/>
              <w:bottom w:type="dxa" w:w="80"/>
              <w:right w:type="dxa" w:w="120"/>
            </w:tcMar>
          </w:tcPr>
          <w:p>
            <w:pPr>
              <w:spacing w:after="60" w:before="60" w:line="260"/>
            </w:pPr>
            <w:r>
              <w:rPr>
                <w:sz w:val="19"/>
                <w:szCs w:val="19"/>
              </w:rPr>
              <w:t xml:space="preserve">24 months</w:t>
            </w:r>
          </w:p>
        </w:tc>
        <w:tc>
          <w:tcPr>
            <w:tcW w:type="dxa" w:w="2800"/>
            <w:tcMar>
              <w:top w:type="dxa" w:w="80"/>
              <w:left w:type="dxa" w:w="120"/>
              <w:bottom w:type="dxa" w:w="80"/>
              <w:right w:type="dxa" w:w="120"/>
            </w:tcMar>
          </w:tcPr>
          <w:p>
            <w:pPr>
              <w:spacing w:after="60" w:before="60" w:line="260"/>
            </w:pPr>
            <w:r>
              <w:rPr>
                <w:sz w:val="19"/>
                <w:szCs w:val="19"/>
              </w:rPr>
              <w:t xml:space="preserve">12 months; 24 only in exchange for a discount</w:t>
            </w:r>
          </w:p>
        </w:tc>
        <w:tc>
          <w:tcPr>
            <w:tcW w:type="dxa" w:w="3180"/>
            <w:tcMar>
              <w:top w:type="dxa" w:w="80"/>
              <w:left w:type="dxa" w:w="120"/>
              <w:bottom w:type="dxa" w:w="80"/>
              <w:right w:type="dxa" w:w="120"/>
            </w:tcMar>
          </w:tcPr>
          <w:p>
            <w:pPr>
              <w:spacing w:after="60" w:before="60" w:line="260"/>
            </w:pPr>
            <w:r>
              <w:rPr>
                <w:sz w:val="19"/>
                <w:szCs w:val="19"/>
              </w:rPr>
              <w:t xml:space="preserve">A two-year lock-in from a seven-person vendor with no SOC 2, no ISO 27001 and no SLA is the largest procurement objection. Trade length for price rather than demanding it up front.</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Liability cap</w:t>
            </w:r>
          </w:p>
        </w:tc>
        <w:tc>
          <w:tcPr>
            <w:tcW w:type="dxa" w:w="2400"/>
            <w:tcMar>
              <w:top w:type="dxa" w:w="80"/>
              <w:left w:type="dxa" w:w="120"/>
              <w:bottom w:type="dxa" w:w="80"/>
              <w:right w:type="dxa" w:w="120"/>
            </w:tcMar>
          </w:tcPr>
          <w:p>
            <w:pPr>
              <w:spacing w:after="60" w:before="60" w:line="260"/>
            </w:pPr>
            <w:r>
              <w:rPr>
                <w:sz w:val="19"/>
                <w:szCs w:val="19"/>
              </w:rPr>
              <w:t xml:space="preserve">Greater of €10k or 12-month fees, hard cap €50k</w:t>
            </w:r>
          </w:p>
        </w:tc>
        <w:tc>
          <w:tcPr>
            <w:tcW w:type="dxa" w:w="2800"/>
            <w:tcMar>
              <w:top w:type="dxa" w:w="80"/>
              <w:left w:type="dxa" w:w="120"/>
              <w:bottom w:type="dxa" w:w="80"/>
              <w:right w:type="dxa" w:w="120"/>
            </w:tcMar>
          </w:tcPr>
          <w:p>
            <w:pPr>
              <w:spacing w:after="60" w:before="60" w:line="260"/>
            </w:pPr>
            <w:r>
              <w:rPr>
                <w:sz w:val="19"/>
                <w:szCs w:val="19"/>
              </w:rPr>
              <w:t xml:space="preserve">1x annual fees, with no absolute cap below that</w:t>
            </w:r>
          </w:p>
        </w:tc>
        <w:tc>
          <w:tcPr>
            <w:tcW w:type="dxa" w:w="3180"/>
            <w:tcMar>
              <w:top w:type="dxa" w:w="80"/>
              <w:left w:type="dxa" w:w="120"/>
              <w:bottom w:type="dxa" w:w="80"/>
              <w:right w:type="dxa" w:w="120"/>
            </w:tcMar>
          </w:tcPr>
          <w:p>
            <w:pPr>
              <w:spacing w:after="60" w:before="60" w:line="260"/>
            </w:pPr>
            <w:r>
              <w:rPr>
                <w:sz w:val="19"/>
                <w:szCs w:val="19"/>
              </w:rPr>
              <w:t xml:space="preserve">At a €60,000 ACV a €50,000 ceiling is below a single year of fees and reads as unserious. It becomes a blocker as soon as deal sizes rise.</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SLA</w:t>
            </w:r>
          </w:p>
        </w:tc>
        <w:tc>
          <w:tcPr>
            <w:tcW w:type="dxa" w:w="2400"/>
            <w:tcMar>
              <w:top w:type="dxa" w:w="80"/>
              <w:left w:type="dxa" w:w="120"/>
              <w:bottom w:type="dxa" w:w="80"/>
              <w:right w:type="dxa" w:w="120"/>
            </w:tcMar>
          </w:tcPr>
          <w:p>
            <w:pPr>
              <w:spacing w:after="60" w:before="60" w:line="260"/>
            </w:pPr>
            <w:r>
              <w:rPr>
                <w:sz w:val="19"/>
                <w:szCs w:val="19"/>
              </w:rPr>
              <w:t xml:space="preserve">None — "best efforts"</w:t>
            </w:r>
          </w:p>
        </w:tc>
        <w:tc>
          <w:tcPr>
            <w:tcW w:type="dxa" w:w="2800"/>
            <w:tcMar>
              <w:top w:type="dxa" w:w="80"/>
              <w:left w:type="dxa" w:w="120"/>
              <w:bottom w:type="dxa" w:w="80"/>
              <w:right w:type="dxa" w:w="120"/>
            </w:tcMar>
          </w:tcPr>
          <w:p>
            <w:pPr>
              <w:spacing w:after="60" w:before="60" w:line="260"/>
            </w:pPr>
            <w:r>
              <w:rPr>
                <w:sz w:val="19"/>
                <w:szCs w:val="19"/>
              </w:rPr>
              <w:t xml:space="preserve">A published 99.5% availability target with service credits</w:t>
            </w:r>
          </w:p>
        </w:tc>
        <w:tc>
          <w:tcPr>
            <w:tcW w:type="dxa" w:w="3180"/>
            <w:tcMar>
              <w:top w:type="dxa" w:w="80"/>
              <w:left w:type="dxa" w:w="120"/>
              <w:bottom w:type="dxa" w:w="80"/>
              <w:right w:type="dxa" w:w="120"/>
            </w:tcMar>
          </w:tcPr>
          <w:p>
            <w:pPr>
              <w:spacing w:after="60" w:before="60" w:line="260"/>
            </w:pPr>
            <w:r>
              <w:rPr>
                <w:sz w:val="19"/>
                <w:szCs w:val="19"/>
              </w:rPr>
              <w:t xml:space="preserve">Credits cost little and remove a standard procurement blocker. Keep the existing exclusion for scheduled maintenance.</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Trial</w:t>
            </w:r>
          </w:p>
        </w:tc>
        <w:tc>
          <w:tcPr>
            <w:tcW w:type="dxa" w:w="2400"/>
            <w:tcMar>
              <w:top w:type="dxa" w:w="80"/>
              <w:left w:type="dxa" w:w="120"/>
              <w:bottom w:type="dxa" w:w="80"/>
              <w:right w:type="dxa" w:w="120"/>
            </w:tcMar>
          </w:tcPr>
          <w:p>
            <w:pPr>
              <w:spacing w:after="60" w:before="60" w:line="260"/>
            </w:pPr>
            <w:r>
              <w:rPr>
                <w:sz w:val="19"/>
                <w:szCs w:val="19"/>
              </w:rPr>
              <w:t xml:space="preserve">"As Is", no binding KPIs, free opt-out</w:t>
            </w:r>
          </w:p>
        </w:tc>
        <w:tc>
          <w:tcPr>
            <w:tcW w:type="dxa" w:w="2800"/>
            <w:tcMar>
              <w:top w:type="dxa" w:w="80"/>
              <w:left w:type="dxa" w:w="120"/>
              <w:bottom w:type="dxa" w:w="80"/>
              <w:right w:type="dxa" w:w="120"/>
            </w:tcMar>
          </w:tcPr>
          <w:p>
            <w:pPr>
              <w:spacing w:after="60" w:before="60" w:line="260"/>
            </w:pPr>
            <w:r>
              <w:rPr>
                <w:sz w:val="19"/>
                <w:szCs w:val="19"/>
              </w:rPr>
              <w:t xml:space="preserve">Paid three-month pilot, credited on conversion, one agreed success metric</w:t>
            </w:r>
          </w:p>
        </w:tc>
        <w:tc>
          <w:tcPr>
            <w:tcW w:type="dxa" w:w="3180"/>
            <w:tcMar>
              <w:top w:type="dxa" w:w="80"/>
              <w:left w:type="dxa" w:w="120"/>
              <w:bottom w:type="dxa" w:w="80"/>
              <w:right w:type="dxa" w:w="120"/>
            </w:tcMar>
          </w:tcPr>
          <w:p>
            <w:pPr>
              <w:spacing w:after="60" w:before="60" w:line="260"/>
            </w:pPr>
            <w:r>
              <w:rPr>
                <w:sz w:val="19"/>
                <w:szCs w:val="19"/>
              </w:rPr>
              <w:t xml:space="preserve">Free pilots with no KPI attract tyre-kickers and consume the forward-deployed engineering capacity that is the real constraint on growth.</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Price increases</w:t>
            </w:r>
          </w:p>
        </w:tc>
        <w:tc>
          <w:tcPr>
            <w:tcW w:type="dxa" w:w="2400"/>
            <w:tcMar>
              <w:top w:type="dxa" w:w="80"/>
              <w:left w:type="dxa" w:w="120"/>
              <w:bottom w:type="dxa" w:w="80"/>
              <w:right w:type="dxa" w:w="120"/>
            </w:tcMar>
          </w:tcPr>
          <w:p>
            <w:pPr>
              <w:spacing w:after="60" w:before="60" w:line="260"/>
            </w:pPr>
            <w:r>
              <w:rPr>
                <w:sz w:val="19"/>
                <w:szCs w:val="19"/>
              </w:rPr>
              <w:t xml:space="preserve">Once annually on six weeks' notice, uncapped</w:t>
            </w:r>
          </w:p>
        </w:tc>
        <w:tc>
          <w:tcPr>
            <w:tcW w:type="dxa" w:w="2800"/>
            <w:tcMar>
              <w:top w:type="dxa" w:w="80"/>
              <w:left w:type="dxa" w:w="120"/>
              <w:bottom w:type="dxa" w:w="80"/>
              <w:right w:type="dxa" w:w="120"/>
            </w:tcMar>
          </w:tcPr>
          <w:p>
            <w:pPr>
              <w:spacing w:after="60" w:before="60" w:line="260"/>
            </w:pPr>
            <w:r>
              <w:rPr>
                <w:sz w:val="19"/>
                <w:szCs w:val="19"/>
              </w:rPr>
              <w:t xml:space="preserve">Cap at CPI + 3% for the first renewal</w:t>
            </w:r>
          </w:p>
        </w:tc>
        <w:tc>
          <w:tcPr>
            <w:tcW w:type="dxa" w:w="3180"/>
            <w:tcMar>
              <w:top w:type="dxa" w:w="80"/>
              <w:left w:type="dxa" w:w="120"/>
              <w:bottom w:type="dxa" w:w="80"/>
              <w:right w:type="dxa" w:w="120"/>
            </w:tcMar>
          </w:tcPr>
          <w:p>
            <w:pPr>
              <w:spacing w:after="60" w:before="60" w:line="260"/>
            </w:pPr>
            <w:r>
              <w:rPr>
                <w:sz w:val="19"/>
                <w:szCs w:val="19"/>
              </w:rPr>
              <w:t xml:space="preserve">An uncapped increase right is a red flag in legal review and is rarely exercised anyway.</w:t>
            </w:r>
          </w:p>
        </w:tc>
      </w:tr>
      <w:tr>
        <w:trPr>
          <w:cantSplit/>
        </w:trPr>
        <w:tc>
          <w:tcPr>
            <w:tcW w:type="dxa" w:w="1700"/>
            <w:tcMar>
              <w:top w:type="dxa" w:w="80"/>
              <w:left w:type="dxa" w:w="120"/>
              <w:bottom w:type="dxa" w:w="80"/>
              <w:right w:type="dxa" w:w="120"/>
            </w:tcMar>
          </w:tcPr>
          <w:p>
            <w:pPr>
              <w:spacing w:after="60" w:before="60" w:line="260"/>
            </w:pPr>
            <w:r>
              <w:rPr>
                <w:sz w:val="19"/>
                <w:szCs w:val="19"/>
              </w:rPr>
              <w:t xml:space="preserve">Data and model rights (cl. 10.3)</w:t>
            </w:r>
          </w:p>
        </w:tc>
        <w:tc>
          <w:tcPr>
            <w:tcW w:type="dxa" w:w="2400"/>
            <w:tcMar>
              <w:top w:type="dxa" w:w="80"/>
              <w:left w:type="dxa" w:w="120"/>
              <w:bottom w:type="dxa" w:w="80"/>
              <w:right w:type="dxa" w:w="120"/>
            </w:tcMar>
          </w:tcPr>
          <w:p>
            <w:pPr>
              <w:spacing w:after="60" w:before="60" w:line="260"/>
            </w:pPr>
            <w:r>
              <w:rPr>
                <w:sz w:val="19"/>
                <w:szCs w:val="19"/>
              </w:rPr>
              <w:t xml:space="preserve">May use Customer Data "for its own benefit generally"</w:t>
            </w:r>
          </w:p>
        </w:tc>
        <w:tc>
          <w:tcPr>
            <w:tcW w:type="dxa" w:w="2800"/>
            <w:tcMar>
              <w:top w:type="dxa" w:w="80"/>
              <w:left w:type="dxa" w:w="120"/>
              <w:bottom w:type="dxa" w:w="80"/>
              <w:right w:type="dxa" w:w="120"/>
            </w:tcMar>
          </w:tcPr>
          <w:p>
            <w:pPr>
              <w:spacing w:after="60" w:before="60" w:line="260"/>
            </w:pPr>
            <w:r>
              <w:rPr>
                <w:sz w:val="19"/>
                <w:szCs w:val="19"/>
              </w:rPr>
              <w:t xml:space="preserve">Narrow to service provision for that customer; offer a written opt-out from cross-customer training</w:t>
            </w:r>
          </w:p>
        </w:tc>
        <w:tc>
          <w:tcPr>
            <w:tcW w:type="dxa" w:w="3180"/>
            <w:tcMar>
              <w:top w:type="dxa" w:w="80"/>
              <w:left w:type="dxa" w:w="120"/>
              <w:bottom w:type="dxa" w:w="80"/>
              <w:right w:type="dxa" w:w="120"/>
            </w:tcMar>
          </w:tcPr>
          <w:p>
            <w:pPr>
              <w:spacing w:after="60" w:before="60" w:line="260"/>
            </w:pPr>
            <w:r>
              <w:rPr>
                <w:sz w:val="19"/>
                <w:szCs w:val="19"/>
              </w:rPr>
              <w:t xml:space="preserve">The broadest clause in the contract, sitting alongside Hugging Face listed for fine-tuning. It will fail an enterprise data-protection review and is not worth what it costs in lost deals.</w:t>
            </w:r>
          </w:p>
        </w:tc>
      </w:tr>
    </w:tbl>
    <w:p>
      <w:pPr>
        <w:spacing w:after="160"/>
      </w:pPr>
    </w:p>
    <w:p>
      <w:pPr>
        <w:pStyle w:val="Heading2"/>
        <w:spacing w:after="120" w:before="260"/>
      </w:pPr>
      <w:r>
        <w:t xml:space="preserve">12.6 Handling the competitive price anchors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cantSplit/>
          <w:tblHeader/>
        </w:trPr>
        <w:tc>
          <w:tcPr>
            <w:tcW w:type="dxa" w:w="2600"/>
            <w:shd w:fill="EDEAE4" w:color="auto" w:val="clear"/>
            <w:tcMar>
              <w:top w:type="dxa" w:w="80"/>
              <w:left w:type="dxa" w:w="120"/>
              <w:bottom w:type="dxa" w:w="80"/>
              <w:right w:type="dxa" w:w="120"/>
            </w:tcMar>
          </w:tcPr>
          <w:p>
            <w:pPr>
              <w:spacing w:after="60" w:before="60" w:line="260"/>
            </w:pPr>
            <w:r>
              <w:rPr>
                <w:b/>
                <w:bCs/>
                <w:sz w:val="19"/>
                <w:szCs w:val="19"/>
              </w:rPr>
              <w:t xml:space="preserve">Reference point</w:t>
            </w:r>
          </w:p>
        </w:tc>
        <w:tc>
          <w:tcPr>
            <w:tcW w:type="dxa" w:w="2200"/>
            <w:shd w:fill="EDEAE4" w:color="auto" w:val="clear"/>
            <w:tcMar>
              <w:top w:type="dxa" w:w="80"/>
              <w:left w:type="dxa" w:w="120"/>
              <w:bottom w:type="dxa" w:w="80"/>
              <w:right w:type="dxa" w:w="120"/>
            </w:tcMar>
          </w:tcPr>
          <w:p>
            <w:pPr>
              <w:spacing w:after="60" w:before="60" w:line="260"/>
            </w:pPr>
            <w:r>
              <w:rPr>
                <w:b/>
                <w:bCs/>
                <w:sz w:val="19"/>
                <w:szCs w:val="19"/>
              </w:rPr>
              <w:t xml:space="preserve">Their price</w:t>
            </w:r>
          </w:p>
        </w:tc>
        <w:tc>
          <w:tcPr>
            <w:tcW w:type="dxa" w:w="5280"/>
            <w:shd w:fill="EDEAE4" w:color="auto" w:val="clear"/>
            <w:tcMar>
              <w:top w:type="dxa" w:w="80"/>
              <w:left w:type="dxa" w:w="120"/>
              <w:bottom w:type="dxa" w:w="80"/>
              <w:right w:type="dxa" w:w="120"/>
            </w:tcMar>
          </w:tcPr>
          <w:p>
            <w:pPr>
              <w:spacing w:after="60" w:before="60" w:line="260"/>
            </w:pPr>
            <w:r>
              <w:rPr>
                <w:b/>
                <w:bCs/>
                <w:sz w:val="19"/>
                <w:szCs w:val="19"/>
              </w:rPr>
              <w:t xml:space="preserve">How to handle it</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Quotiss</w:t>
            </w:r>
          </w:p>
        </w:tc>
        <w:tc>
          <w:tcPr>
            <w:tcW w:type="dxa" w:w="2200"/>
            <w:tcMar>
              <w:top w:type="dxa" w:w="80"/>
              <w:left w:type="dxa" w:w="120"/>
              <w:bottom w:type="dxa" w:w="80"/>
              <w:right w:type="dxa" w:w="120"/>
            </w:tcMar>
          </w:tcPr>
          <w:p>
            <w:pPr>
              <w:spacing w:after="60" w:before="60" w:line="260"/>
            </w:pPr>
            <w:r>
              <w:rPr>
                <w:sz w:val="19"/>
                <w:szCs w:val="19"/>
              </w:rPr>
              <w:t xml:space="preserve">from US$69/user/month</w:t>
            </w:r>
          </w:p>
        </w:tc>
        <w:tc>
          <w:tcPr>
            <w:tcW w:type="dxa" w:w="5280"/>
            <w:tcMar>
              <w:top w:type="dxa" w:w="80"/>
              <w:left w:type="dxa" w:w="120"/>
              <w:bottom w:type="dxa" w:w="80"/>
              <w:right w:type="dxa" w:w="120"/>
            </w:tcMar>
          </w:tcPr>
          <w:p>
            <w:pPr>
              <w:spacing w:after="60" w:before="60" w:line="260"/>
            </w:pPr>
            <w:r>
              <w:rPr>
                <w:sz w:val="19"/>
                <w:szCs w:val="19"/>
              </w:rPr>
              <w:t xml:space="preserve">The cheapest anchor a prospect will have seen. Reframe rather than compete: Quotiss helps a human build a quote faster; a Rate Manager Worker removes the human from the loop entirely.</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Freightos Terminal</w:t>
            </w:r>
          </w:p>
        </w:tc>
        <w:tc>
          <w:tcPr>
            <w:tcW w:type="dxa" w:w="2200"/>
            <w:tcMar>
              <w:top w:type="dxa" w:w="80"/>
              <w:left w:type="dxa" w:w="120"/>
              <w:bottom w:type="dxa" w:w="80"/>
              <w:right w:type="dxa" w:w="120"/>
            </w:tcMar>
          </w:tcPr>
          <w:p>
            <w:pPr>
              <w:spacing w:after="60" w:before="60" w:line="260"/>
            </w:pPr>
            <w:r>
              <w:rPr>
                <w:sz w:val="19"/>
                <w:szCs w:val="19"/>
              </w:rPr>
              <w:t xml:space="preserve">US$119–239/month</w:t>
            </w:r>
          </w:p>
        </w:tc>
        <w:tc>
          <w:tcPr>
            <w:tcW w:type="dxa" w:w="5280"/>
            <w:tcMar>
              <w:top w:type="dxa" w:w="80"/>
              <w:left w:type="dxa" w:w="120"/>
              <w:bottom w:type="dxa" w:w="80"/>
              <w:right w:type="dxa" w:w="120"/>
            </w:tcMar>
          </w:tcPr>
          <w:p>
            <w:pPr>
              <w:spacing w:after="60" w:before="60" w:line="260"/>
            </w:pPr>
            <w:r>
              <w:rPr>
                <w:sz w:val="19"/>
                <w:szCs w:val="19"/>
              </w:rPr>
              <w:t xml:space="preserve">A rate-data subscription, not an operations layer. Position as complementary and integrate with it.</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Mid-market TMS</w:t>
            </w:r>
          </w:p>
        </w:tc>
        <w:tc>
          <w:tcPr>
            <w:tcW w:type="dxa" w:w="2200"/>
            <w:tcMar>
              <w:top w:type="dxa" w:w="80"/>
              <w:left w:type="dxa" w:w="120"/>
              <w:bottom w:type="dxa" w:w="80"/>
              <w:right w:type="dxa" w:w="120"/>
            </w:tcMar>
          </w:tcPr>
          <w:p>
            <w:pPr>
              <w:spacing w:after="60" w:before="60" w:line="260"/>
            </w:pPr>
            <w:r>
              <w:rPr>
                <w:sz w:val="19"/>
                <w:szCs w:val="19"/>
              </w:rPr>
              <w:t xml:space="preserve">US$100–400/user/month</w:t>
            </w:r>
          </w:p>
        </w:tc>
        <w:tc>
          <w:tcPr>
            <w:tcW w:type="dxa" w:w="5280"/>
            <w:tcMar>
              <w:top w:type="dxa" w:w="80"/>
              <w:left w:type="dxa" w:w="120"/>
              <w:bottom w:type="dxa" w:w="80"/>
              <w:right w:type="dxa" w:w="120"/>
            </w:tcMar>
          </w:tcPr>
          <w:p>
            <w:pPr>
              <w:spacing w:after="60" w:before="60" w:line="260"/>
            </w:pPr>
            <w:r>
              <w:rPr>
                <w:sz w:val="19"/>
                <w:szCs w:val="19"/>
              </w:rPr>
              <w:t xml:space="preserve">A 40-seat forwarder already spends €50,000–190,000 a year here. That, not Quotiss, is the budget line the Launch package should be measured against.</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HappyRobot</w:t>
            </w:r>
          </w:p>
        </w:tc>
        <w:tc>
          <w:tcPr>
            <w:tcW w:type="dxa" w:w="2200"/>
            <w:tcMar>
              <w:top w:type="dxa" w:w="80"/>
              <w:left w:type="dxa" w:w="120"/>
              <w:bottom w:type="dxa" w:w="80"/>
              <w:right w:type="dxa" w:w="120"/>
            </w:tcMar>
          </w:tcPr>
          <w:p>
            <w:pPr>
              <w:spacing w:after="60" w:before="60" w:line="260"/>
            </w:pPr>
            <w:r>
              <w:rPr>
                <w:sz w:val="19"/>
                <w:szCs w:val="19"/>
              </w:rPr>
              <w:t xml:space="preserve">Per action, undisclosed</w:t>
            </w:r>
          </w:p>
        </w:tc>
        <w:tc>
          <w:tcPr>
            <w:tcW w:type="dxa" w:w="5280"/>
            <w:tcMar>
              <w:top w:type="dxa" w:w="80"/>
              <w:left w:type="dxa" w:w="120"/>
              <w:bottom w:type="dxa" w:w="80"/>
              <w:right w:type="dxa" w:w="120"/>
            </w:tcMar>
          </w:tcPr>
          <w:p>
            <w:pPr>
              <w:spacing w:after="60" w:before="60" w:line="260"/>
            </w:pPr>
            <w:r>
              <w:rPr>
                <w:sz w:val="19"/>
                <w:szCs w:val="19"/>
              </w:rPr>
              <w:t xml:space="preserve">If a prospect asks for per-action pricing, offer the usage band instead — same logic, predictable invoice.</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Cargofy</w:t>
            </w:r>
          </w:p>
        </w:tc>
        <w:tc>
          <w:tcPr>
            <w:tcW w:type="dxa" w:w="2200"/>
            <w:tcMar>
              <w:top w:type="dxa" w:w="80"/>
              <w:left w:type="dxa" w:w="120"/>
              <w:bottom w:type="dxa" w:w="80"/>
              <w:right w:type="dxa" w:w="120"/>
            </w:tcMar>
          </w:tcPr>
          <w:p>
            <w:pPr>
              <w:spacing w:after="60" w:before="60" w:line="260"/>
            </w:pPr>
            <w:r>
              <w:rPr>
                <w:sz w:val="19"/>
                <w:szCs w:val="19"/>
              </w:rPr>
              <w:t xml:space="preserve">~US$5,000 average ARR per customer</w:t>
            </w:r>
          </w:p>
        </w:tc>
        <w:tc>
          <w:tcPr>
            <w:tcW w:type="dxa" w:w="5280"/>
            <w:tcMar>
              <w:top w:type="dxa" w:w="80"/>
              <w:left w:type="dxa" w:w="120"/>
              <w:bottom w:type="dxa" w:w="80"/>
              <w:right w:type="dxa" w:w="120"/>
            </w:tcMar>
          </w:tcPr>
          <w:p>
            <w:pPr>
              <w:spacing w:after="60" w:before="60" w:line="260"/>
            </w:pPr>
            <w:r>
              <w:rPr>
                <w:sz w:val="19"/>
                <w:szCs w:val="19"/>
              </w:rPr>
              <w:t xml:space="preserve">Blended across carriers and dispatchers, so a floor rather than a comparable. Do not let it be cited as a market rate for forwarder deployments.</w:t>
            </w:r>
          </w:p>
        </w:tc>
      </w:tr>
      <w:tr>
        <w:trPr>
          <w:cantSplit/>
        </w:trPr>
        <w:tc>
          <w:tcPr>
            <w:tcW w:type="dxa" w:w="2600"/>
            <w:tcMar>
              <w:top w:type="dxa" w:w="80"/>
              <w:left w:type="dxa" w:w="120"/>
              <w:bottom w:type="dxa" w:w="80"/>
              <w:right w:type="dxa" w:w="120"/>
            </w:tcMar>
          </w:tcPr>
          <w:p>
            <w:pPr>
              <w:spacing w:after="60" w:before="60" w:line="260"/>
            </w:pPr>
            <w:r>
              <w:rPr>
                <w:sz w:val="19"/>
                <w:szCs w:val="19"/>
              </w:rPr>
              <w:t xml:space="preserve">Raft, Expedock</w:t>
            </w:r>
          </w:p>
        </w:tc>
        <w:tc>
          <w:tcPr>
            <w:tcW w:type="dxa" w:w="2200"/>
            <w:tcMar>
              <w:top w:type="dxa" w:w="80"/>
              <w:left w:type="dxa" w:w="120"/>
              <w:bottom w:type="dxa" w:w="80"/>
              <w:right w:type="dxa" w:w="120"/>
            </w:tcMar>
          </w:tcPr>
          <w:p>
            <w:pPr>
              <w:spacing w:after="60" w:before="60" w:line="260"/>
            </w:pPr>
            <w:r>
              <w:rPr>
                <w:sz w:val="19"/>
                <w:szCs w:val="19"/>
              </w:rPr>
              <w:t xml:space="preserve">Undisclosed, enterprise</w:t>
            </w:r>
          </w:p>
        </w:tc>
        <w:tc>
          <w:tcPr>
            <w:tcW w:type="dxa" w:w="5280"/>
            <w:tcMar>
              <w:top w:type="dxa" w:w="80"/>
              <w:left w:type="dxa" w:w="120"/>
              <w:bottom w:type="dxa" w:w="80"/>
              <w:right w:type="dxa" w:w="120"/>
            </w:tcMar>
          </w:tcPr>
          <w:p>
            <w:pPr>
              <w:spacing w:after="60" w:before="60" w:line="260"/>
            </w:pPr>
            <w:r>
              <w:rPr>
                <w:sz w:val="19"/>
                <w:szCs w:val="19"/>
              </w:rPr>
              <w:t xml:space="preserve">Both sell to larger forwarders at higher price points. Their existence supports a five-figure ACV rather than undermining it.</w:t>
            </w:r>
          </w:p>
        </w:tc>
      </w:tr>
    </w:tbl>
    <w:p>
      <w:pPr>
        <w:spacing w:after="160"/>
      </w:pPr>
    </w:p>
    <w:p>
      <w:pPr>
        <w:pStyle w:val="Heading2"/>
        <w:spacing w:after="120" w:before="260"/>
      </w:pPr>
      <w:r>
        <w:t xml:space="preserve">12.7 Discount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4600"/>
      </w:tblGrid>
      <w:tr>
        <w:trPr>
          <w:cantSplit/>
          <w:tblHeader/>
        </w:trPr>
        <w:tc>
          <w:tcPr>
            <w:tcW w:type="dxa" w:w="3600"/>
            <w:shd w:fill="EDEAE4" w:color="auto" w:val="clear"/>
            <w:tcMar>
              <w:top w:type="dxa" w:w="80"/>
              <w:left w:type="dxa" w:w="120"/>
              <w:bottom w:type="dxa" w:w="80"/>
              <w:right w:type="dxa" w:w="120"/>
            </w:tcMar>
          </w:tcPr>
          <w:p>
            <w:pPr>
              <w:spacing w:after="60" w:before="60" w:line="260"/>
            </w:pPr>
            <w:r>
              <w:rPr>
                <w:b/>
                <w:bCs/>
                <w:sz w:val="19"/>
                <w:szCs w:val="19"/>
              </w:rPr>
              <w:t xml:space="preserve">Rule</w:t>
            </w:r>
          </w:p>
        </w:tc>
        <w:tc>
          <w:tcPr>
            <w:tcW w:type="dxa" w:w="1880"/>
            <w:shd w:fill="EDEAE4" w:color="auto" w:val="clear"/>
            <w:tcMar>
              <w:top w:type="dxa" w:w="80"/>
              <w:left w:type="dxa" w:w="120"/>
              <w:bottom w:type="dxa" w:w="80"/>
              <w:right w:type="dxa" w:w="120"/>
            </w:tcMar>
          </w:tcPr>
          <w:p>
            <w:pPr>
              <w:spacing w:after="60" w:before="60" w:line="260"/>
            </w:pPr>
            <w:r>
              <w:rPr>
                <w:b/>
                <w:bCs/>
                <w:sz w:val="19"/>
                <w:szCs w:val="19"/>
              </w:rPr>
              <w:t xml:space="preserve">Limit</w:t>
            </w:r>
          </w:p>
        </w:tc>
        <w:tc>
          <w:tcPr>
            <w:tcW w:type="dxa" w:w="4600"/>
            <w:shd w:fill="EDEAE4" w:color="auto" w:val="clear"/>
            <w:tcMar>
              <w:top w:type="dxa" w:w="80"/>
              <w:left w:type="dxa" w:w="120"/>
              <w:bottom w:type="dxa" w:w="80"/>
              <w:right w:type="dxa" w:w="120"/>
            </w:tcMar>
          </w:tcPr>
          <w:p>
            <w:pPr>
              <w:spacing w:after="60" w:before="60" w:line="260"/>
            </w:pPr>
            <w:r>
              <w:rPr>
                <w:b/>
                <w:bCs/>
                <w:sz w:val="19"/>
                <w:szCs w:val="19"/>
              </w:rPr>
              <w:t xml:space="preserve">Note</w:t>
            </w:r>
          </w:p>
        </w:tc>
      </w:tr>
      <w:tr>
        <w:trPr>
          <w:cantSplit/>
        </w:trPr>
        <w:tc>
          <w:tcPr>
            <w:tcW w:type="dxa" w:w="3600"/>
            <w:tcMar>
              <w:top w:type="dxa" w:w="80"/>
              <w:left w:type="dxa" w:w="120"/>
              <w:bottom w:type="dxa" w:w="80"/>
              <w:right w:type="dxa" w:w="120"/>
            </w:tcMar>
          </w:tcPr>
          <w:p>
            <w:pPr>
              <w:spacing w:after="60" w:before="60" w:line="260"/>
            </w:pPr>
            <w:r>
              <w:rPr>
                <w:sz w:val="19"/>
                <w:szCs w:val="19"/>
              </w:rPr>
              <w:t xml:space="preserve">Maximum discount without founder approval</w:t>
            </w:r>
          </w:p>
        </w:tc>
        <w:tc>
          <w:tcPr>
            <w:tcW w:type="dxa" w:w="1880"/>
            <w:tcMar>
              <w:top w:type="dxa" w:w="80"/>
              <w:left w:type="dxa" w:w="120"/>
              <w:bottom w:type="dxa" w:w="80"/>
              <w:right w:type="dxa" w:w="120"/>
            </w:tcMar>
          </w:tcPr>
          <w:p>
            <w:pPr>
              <w:spacing w:after="60" w:before="60" w:line="260"/>
            </w:pPr>
            <w:r>
              <w:rPr>
                <w:sz w:val="19"/>
                <w:szCs w:val="19"/>
              </w:rPr>
              <w:t xml:space="preserve">15%</w:t>
            </w:r>
          </w:p>
        </w:tc>
        <w:tc>
          <w:tcPr>
            <w:tcW w:type="dxa" w:w="4600"/>
            <w:tcMar>
              <w:top w:type="dxa" w:w="80"/>
              <w:left w:type="dxa" w:w="120"/>
              <w:bottom w:type="dxa" w:w="80"/>
              <w:right w:type="dxa" w:w="120"/>
            </w:tcMar>
          </w:tcPr>
          <w:p>
            <w:pPr>
              <w:spacing w:after="60" w:before="60" w:line="260"/>
            </w:pPr>
            <w:r>
              <w:rPr>
                <w:sz w:val="19"/>
                <w:szCs w:val="19"/>
              </w:rPr>
              <w:t xml:space="preserve">Applies to the Worker fee only</w:t>
            </w:r>
          </w:p>
        </w:tc>
      </w:tr>
      <w:tr>
        <w:trPr>
          <w:cantSplit/>
        </w:trPr>
        <w:tc>
          <w:tcPr>
            <w:tcW w:type="dxa" w:w="3600"/>
            <w:tcMar>
              <w:top w:type="dxa" w:w="80"/>
              <w:left w:type="dxa" w:w="120"/>
              <w:bottom w:type="dxa" w:w="80"/>
              <w:right w:type="dxa" w:w="120"/>
            </w:tcMar>
          </w:tcPr>
          <w:p>
            <w:pPr>
              <w:spacing w:after="60" w:before="60" w:line="260"/>
            </w:pPr>
            <w:r>
              <w:rPr>
                <w:sz w:val="19"/>
                <w:szCs w:val="19"/>
              </w:rPr>
              <w:t xml:space="preserve">Absolute ACV floor</w:t>
            </w:r>
          </w:p>
        </w:tc>
        <w:tc>
          <w:tcPr>
            <w:tcW w:type="dxa" w:w="1880"/>
            <w:tcMar>
              <w:top w:type="dxa" w:w="80"/>
              <w:left w:type="dxa" w:w="120"/>
              <w:bottom w:type="dxa" w:w="80"/>
              <w:right w:type="dxa" w:w="120"/>
            </w:tcMar>
          </w:tcPr>
          <w:p>
            <w:pPr>
              <w:spacing w:after="60" w:before="60" w:line="260"/>
            </w:pPr>
            <w:r>
              <w:rPr>
                <w:sz w:val="19"/>
                <w:szCs w:val="19"/>
              </w:rPr>
              <w:t xml:space="preserve">€24,000</w:t>
            </w:r>
          </w:p>
        </w:tc>
        <w:tc>
          <w:tcPr>
            <w:tcW w:type="dxa" w:w="4600"/>
            <w:tcMar>
              <w:top w:type="dxa" w:w="80"/>
              <w:left w:type="dxa" w:w="120"/>
              <w:bottom w:type="dxa" w:w="80"/>
              <w:right w:type="dxa" w:w="120"/>
            </w:tcMar>
          </w:tcPr>
          <w:p>
            <w:pPr>
              <w:spacing w:after="60" w:before="60" w:line="260"/>
            </w:pPr>
            <w:r>
              <w:rPr>
                <w:sz w:val="19"/>
                <w:szCs w:val="19"/>
              </w:rPr>
              <w:t xml:space="preserve">Below this the forward-deployed delivery model loses money. Walk away, or reduce scope to a single Worker.</w:t>
            </w:r>
          </w:p>
        </w:tc>
      </w:tr>
      <w:tr>
        <w:trPr>
          <w:cantSplit/>
        </w:trPr>
        <w:tc>
          <w:tcPr>
            <w:tcW w:type="dxa" w:w="3600"/>
            <w:tcMar>
              <w:top w:type="dxa" w:w="80"/>
              <w:left w:type="dxa" w:w="120"/>
              <w:bottom w:type="dxa" w:w="80"/>
              <w:right w:type="dxa" w:w="120"/>
            </w:tcMar>
          </w:tcPr>
          <w:p>
            <w:pPr>
              <w:spacing w:after="60" w:before="60" w:line="260"/>
            </w:pPr>
            <w:r>
              <w:rPr>
                <w:sz w:val="19"/>
                <w:szCs w:val="19"/>
              </w:rPr>
              <w:t xml:space="preserve">Annual prepay discount</w:t>
            </w:r>
          </w:p>
        </w:tc>
        <w:tc>
          <w:tcPr>
            <w:tcW w:type="dxa" w:w="1880"/>
            <w:tcMar>
              <w:top w:type="dxa" w:w="80"/>
              <w:left w:type="dxa" w:w="120"/>
              <w:bottom w:type="dxa" w:w="80"/>
              <w:right w:type="dxa" w:w="120"/>
            </w:tcMar>
          </w:tcPr>
          <w:p>
            <w:pPr>
              <w:spacing w:after="60" w:before="60" w:line="260"/>
            </w:pPr>
            <w:r>
              <w:rPr>
                <w:sz w:val="19"/>
                <w:szCs w:val="19"/>
              </w:rPr>
              <w:t xml:space="preserve">8%</w:t>
            </w:r>
          </w:p>
        </w:tc>
        <w:tc>
          <w:tcPr>
            <w:tcW w:type="dxa" w:w="4600"/>
            <w:tcMar>
              <w:top w:type="dxa" w:w="80"/>
              <w:left w:type="dxa" w:w="120"/>
              <w:bottom w:type="dxa" w:w="80"/>
              <w:right w:type="dxa" w:w="120"/>
            </w:tcMar>
          </w:tcPr>
          <w:p>
            <w:pPr>
              <w:spacing w:after="60" w:before="60" w:line="260"/>
            </w:pPr>
            <w:r>
              <w:rPr>
                <w:sz w:val="19"/>
                <w:szCs w:val="19"/>
              </w:rPr>
              <w:t xml:space="preserve">Cash matters more than margin at this stage</w:t>
            </w:r>
          </w:p>
        </w:tc>
      </w:tr>
      <w:tr>
        <w:trPr>
          <w:cantSplit/>
        </w:trPr>
        <w:tc>
          <w:tcPr>
            <w:tcW w:type="dxa" w:w="3600"/>
            <w:tcMar>
              <w:top w:type="dxa" w:w="80"/>
              <w:left w:type="dxa" w:w="120"/>
              <w:bottom w:type="dxa" w:w="80"/>
              <w:right w:type="dxa" w:w="120"/>
            </w:tcMar>
          </w:tcPr>
          <w:p>
            <w:pPr>
              <w:spacing w:after="60" w:before="60" w:line="260"/>
            </w:pPr>
            <w:r>
              <w:rPr>
                <w:sz w:val="19"/>
                <w:szCs w:val="19"/>
              </w:rPr>
              <w:t xml:space="preserve">24-month term discount</w:t>
            </w:r>
          </w:p>
        </w:tc>
        <w:tc>
          <w:tcPr>
            <w:tcW w:type="dxa" w:w="1880"/>
            <w:tcMar>
              <w:top w:type="dxa" w:w="80"/>
              <w:left w:type="dxa" w:w="120"/>
              <w:bottom w:type="dxa" w:w="80"/>
              <w:right w:type="dxa" w:w="120"/>
            </w:tcMar>
          </w:tcPr>
          <w:p>
            <w:pPr>
              <w:spacing w:after="60" w:before="60" w:line="260"/>
            </w:pPr>
            <w:r>
              <w:rPr>
                <w:sz w:val="19"/>
                <w:szCs w:val="19"/>
              </w:rPr>
              <w:t xml:space="preserve">10%</w:t>
            </w:r>
          </w:p>
        </w:tc>
        <w:tc>
          <w:tcPr>
            <w:tcW w:type="dxa" w:w="4600"/>
            <w:tcMar>
              <w:top w:type="dxa" w:w="80"/>
              <w:left w:type="dxa" w:w="120"/>
              <w:bottom w:type="dxa" w:w="80"/>
              <w:right w:type="dxa" w:w="120"/>
            </w:tcMar>
          </w:tcPr>
          <w:p>
            <w:pPr>
              <w:spacing w:after="60" w:before="60" w:line="260"/>
            </w:pPr>
            <w:r>
              <w:rPr>
                <w:sz w:val="19"/>
                <w:szCs w:val="19"/>
              </w:rPr>
              <w:t xml:space="preserve">Sell length as a concession granted, never as a requirement</w:t>
            </w:r>
          </w:p>
        </w:tc>
      </w:tr>
      <w:tr>
        <w:trPr>
          <w:cantSplit/>
        </w:trPr>
        <w:tc>
          <w:tcPr>
            <w:tcW w:type="dxa" w:w="3600"/>
            <w:tcMar>
              <w:top w:type="dxa" w:w="80"/>
              <w:left w:type="dxa" w:w="120"/>
              <w:bottom w:type="dxa" w:w="80"/>
              <w:right w:type="dxa" w:w="120"/>
            </w:tcMar>
          </w:tcPr>
          <w:p>
            <w:pPr>
              <w:spacing w:after="60" w:before="60" w:line="260"/>
            </w:pPr>
            <w:r>
              <w:rPr>
                <w:sz w:val="19"/>
                <w:szCs w:val="19"/>
              </w:rPr>
              <w:t xml:space="preserve">Onboarding fee waiver</w:t>
            </w:r>
          </w:p>
        </w:tc>
        <w:tc>
          <w:tcPr>
            <w:tcW w:type="dxa" w:w="1880"/>
            <w:tcMar>
              <w:top w:type="dxa" w:w="80"/>
              <w:left w:type="dxa" w:w="120"/>
              <w:bottom w:type="dxa" w:w="80"/>
              <w:right w:type="dxa" w:w="120"/>
            </w:tcMar>
          </w:tcPr>
          <w:p>
            <w:pPr>
              <w:spacing w:after="60" w:before="60" w:line="260"/>
            </w:pPr>
            <w:r>
              <w:rPr>
                <w:sz w:val="19"/>
                <w:szCs w:val="19"/>
              </w:rPr>
              <w:t xml:space="preserve">Never</w:t>
            </w:r>
          </w:p>
        </w:tc>
        <w:tc>
          <w:tcPr>
            <w:tcW w:type="dxa" w:w="4600"/>
            <w:tcMar>
              <w:top w:type="dxa" w:w="80"/>
              <w:left w:type="dxa" w:w="120"/>
              <w:bottom w:type="dxa" w:w="80"/>
              <w:right w:type="dxa" w:w="120"/>
            </w:tcMar>
          </w:tcPr>
          <w:p>
            <w:pPr>
              <w:spacing w:after="60" w:before="60" w:line="260"/>
            </w:pPr>
            <w:r>
              <w:rPr>
                <w:sz w:val="19"/>
                <w:szCs w:val="19"/>
              </w:rPr>
              <w:t xml:space="preserve">Waiving it signals the deployment work is free, which is the most expensive thing the company does</w:t>
            </w:r>
          </w:p>
        </w:tc>
      </w:tr>
      <w:tr>
        <w:trPr>
          <w:cantSplit/>
        </w:trPr>
        <w:tc>
          <w:tcPr>
            <w:tcW w:type="dxa" w:w="3600"/>
            <w:tcMar>
              <w:top w:type="dxa" w:w="80"/>
              <w:left w:type="dxa" w:w="120"/>
              <w:bottom w:type="dxa" w:w="80"/>
              <w:right w:type="dxa" w:w="120"/>
            </w:tcMar>
          </w:tcPr>
          <w:p>
            <w:pPr>
              <w:spacing w:after="60" w:before="60" w:line="260"/>
            </w:pPr>
            <w:r>
              <w:rPr>
                <w:sz w:val="19"/>
                <w:szCs w:val="19"/>
              </w:rPr>
              <w:t xml:space="preserve">Logo or reference discount</w:t>
            </w:r>
          </w:p>
        </w:tc>
        <w:tc>
          <w:tcPr>
            <w:tcW w:type="dxa" w:w="1880"/>
            <w:tcMar>
              <w:top w:type="dxa" w:w="80"/>
              <w:left w:type="dxa" w:w="120"/>
              <w:bottom w:type="dxa" w:w="80"/>
              <w:right w:type="dxa" w:w="120"/>
            </w:tcMar>
          </w:tcPr>
          <w:p>
            <w:pPr>
              <w:spacing w:after="60" w:before="60" w:line="260"/>
            </w:pPr>
            <w:r>
              <w:rPr>
                <w:sz w:val="19"/>
                <w:szCs w:val="19"/>
              </w:rPr>
              <w:t xml:space="preserve">up to 20%, max 3 accounts</w:t>
            </w:r>
          </w:p>
        </w:tc>
        <w:tc>
          <w:tcPr>
            <w:tcW w:type="dxa" w:w="4600"/>
            <w:tcMar>
              <w:top w:type="dxa" w:w="80"/>
              <w:left w:type="dxa" w:w="120"/>
              <w:bottom w:type="dxa" w:w="80"/>
              <w:right w:type="dxa" w:w="120"/>
            </w:tcMar>
          </w:tcPr>
          <w:p>
            <w:pPr>
              <w:spacing w:after="60" w:before="60" w:line="260"/>
            </w:pPr>
            <w:r>
              <w:rPr>
                <w:sz w:val="19"/>
                <w:szCs w:val="19"/>
              </w:rPr>
              <w:t xml:space="preserve">Only for named, referenceable DACH forwarders willing to appear in a case study</w:t>
            </w:r>
          </w:p>
        </w:tc>
      </w:tr>
    </w:tbl>
    <w:p>
      <w:pPr>
        <w:spacing w:after="160"/>
      </w:pPr>
    </w:p>
    <w:p>
      <w:pPr>
        <w:pStyle w:val="Heading2"/>
        <w:spacing w:after="120" w:before="260"/>
      </w:pPr>
      <w:r>
        <w:t xml:space="preserve">12.8 What would change this recommendation</w:t>
      </w:r>
    </w:p>
    <w:p>
      <w:pPr>
        <w:pStyle w:val="ListParagraph"/>
        <w:numPr>
          <w:ilvl w:val="0"/>
          <w:numId w:val="2"/>
        </w:numPr>
        <w:spacing w:after="90" w:line="276"/>
      </w:pPr>
      <w:r>
        <w:t xml:space="preserve">If HappyRobot or Augment enters European forwarding with per-action pricing, the predictable-invoice advantage disappears and the usage band has to become the headline model rather than a secondary component.</w:t>
      </w:r>
    </w:p>
    <w:p>
      <w:pPr>
        <w:pStyle w:val="ListParagraph"/>
        <w:numPr>
          <w:ilvl w:val="0"/>
          <w:numId w:val="2"/>
        </w:numPr>
        <w:spacing w:after="90" w:line="276"/>
      </w:pPr>
      <w:r>
        <w:t xml:space="preserve">If CargoWise ships competent native AI agents, the platform fee becomes unsellable and 5U AI has to price purely on incremental Workers.</w:t>
      </w:r>
    </w:p>
    <w:p>
      <w:pPr>
        <w:pStyle w:val="ListParagraph"/>
        <w:numPr>
          <w:ilvl w:val="0"/>
          <w:numId w:val="2"/>
        </w:numPr>
        <w:spacing w:after="90" w:line="276"/>
      </w:pPr>
      <w:r>
        <w:t xml:space="preserve">If Nexcade publishes pricing first, it sets the anchor for every DACH forwarder in the market. Being second to publish is worse than being first to publish slightly wrong.</w:t>
      </w:r>
    </w:p>
    <w:p>
      <w:pPr>
        <w:pStyle w:val="ListParagraph"/>
        <w:numPr>
          <w:ilvl w:val="0"/>
          <w:numId w:val="2"/>
        </w:numPr>
        <w:spacing w:after="90" w:line="276"/>
      </w:pPr>
      <w:r>
        <w:t xml:space="preserve">If measured automation rate in production lands nearer 60% than 90%, the value released in 12.2 falls by roughly a third and the Launch package needs to come down to about €24,000.</w:t>
      </w:r>
    </w:p>
    <w:p>
      <w:pPr>
        <w:pStyle w:val="Heading1"/>
        <w:spacing w:after="160" w:before="360"/>
      </w:pPr>
      <w:r>
        <w:t xml:space="preserve">13. Market sizing</w:t>
      </w:r>
    </w:p>
    <w:p>
      <w:pPr>
        <w:spacing w:after="140" w:line="276"/>
      </w:pPr>
      <w:r>
        <w:t xml:space="preserve">Sized across the EU, UK and US by two deliberately independent methods. Approach A values the pool of operational labour that agents can absorb; Approach B counts addressable companies and multiplies by a realistic contract value. They disagree by an order of magnitude, and that disagreement is the finding. The live model with editable assumptions sits on the "Market sizing" tab of the companion workbook.</w:t>
      </w:r>
    </w:p>
    <w:p>
      <w:pPr>
        <w:pStyle w:val="Heading2"/>
        <w:spacing w:after="120" w:before="260"/>
      </w:pPr>
      <w:r>
        <w:t xml:space="preserve">13.1 Base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2400"/>
        <w:gridCol w:w="3000"/>
      </w:tblGrid>
      <w:tr>
        <w:trPr>
          <w:cantSplit/>
          <w:tblHeader/>
        </w:trPr>
        <w:tc>
          <w:tcPr>
            <w:tcW w:type="dxa" w:w="4680"/>
            <w:shd w:fill="EDEAE4" w:color="auto" w:val="clear"/>
            <w:tcMar>
              <w:top w:type="dxa" w:w="80"/>
              <w:left w:type="dxa" w:w="120"/>
              <w:bottom w:type="dxa" w:w="80"/>
              <w:right w:type="dxa" w:w="120"/>
            </w:tcMar>
          </w:tcPr>
          <w:p>
            <w:pPr>
              <w:spacing w:after="60" w:before="60" w:line="260"/>
            </w:pPr>
            <w:r>
              <w:rPr>
                <w:b/>
                <w:bCs/>
                <w:sz w:val="19"/>
                <w:szCs w:val="19"/>
              </w:rPr>
              <w:t xml:space="preserve">Metric</w:t>
            </w:r>
          </w:p>
        </w:tc>
        <w:tc>
          <w:tcPr>
            <w:tcW w:type="dxa" w:w="2400"/>
            <w:shd w:fill="EDEAE4" w:color="auto" w:val="clear"/>
            <w:tcMar>
              <w:top w:type="dxa" w:w="80"/>
              <w:left w:type="dxa" w:w="120"/>
              <w:bottom w:type="dxa" w:w="80"/>
              <w:right w:type="dxa" w:w="120"/>
            </w:tcMar>
          </w:tcPr>
          <w:p>
            <w:pPr>
              <w:spacing w:after="60" w:before="60" w:line="260"/>
            </w:pPr>
            <w:r>
              <w:rPr>
                <w:b/>
                <w:bCs/>
                <w:sz w:val="19"/>
                <w:szCs w:val="19"/>
              </w:rPr>
              <w:t xml:space="preserve">Value</w:t>
            </w:r>
          </w:p>
        </w:tc>
        <w:tc>
          <w:tcPr>
            <w:tcW w:type="dxa" w:w="3000"/>
            <w:shd w:fill="EDEAE4" w:color="auto" w:val="clear"/>
            <w:tcMar>
              <w:top w:type="dxa" w:w="80"/>
              <w:left w:type="dxa" w:w="120"/>
              <w:bottom w:type="dxa" w:w="80"/>
              <w:right w:type="dxa" w:w="120"/>
            </w:tcMar>
          </w:tcPr>
          <w:p>
            <w:pPr>
              <w:spacing w:after="60" w:before="60" w:line="260"/>
            </w:pPr>
            <w:r>
              <w:rPr>
                <w:b/>
                <w:bCs/>
                <w:sz w:val="19"/>
                <w:szCs w:val="19"/>
              </w:rPr>
              <w:t xml:space="preserve">Source</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EU forwarding, logistics and customs companies</w:t>
            </w:r>
          </w:p>
        </w:tc>
        <w:tc>
          <w:tcPr>
            <w:tcW w:type="dxa" w:w="2400"/>
            <w:tcMar>
              <w:top w:type="dxa" w:w="80"/>
              <w:left w:type="dxa" w:w="120"/>
              <w:bottom w:type="dxa" w:w="80"/>
              <w:right w:type="dxa" w:w="120"/>
            </w:tcMar>
          </w:tcPr>
          <w:p>
            <w:pPr>
              <w:spacing w:after="60" w:before="60" w:line="260"/>
            </w:pPr>
            <w:r>
              <w:rPr>
                <w:sz w:val="19"/>
                <w:szCs w:val="19"/>
              </w:rPr>
              <w:t xml:space="preserve">~19,000</w:t>
            </w:r>
          </w:p>
        </w:tc>
        <w:tc>
          <w:tcPr>
            <w:tcW w:type="dxa" w:w="3000"/>
            <w:tcMar>
              <w:top w:type="dxa" w:w="80"/>
              <w:left w:type="dxa" w:w="120"/>
              <w:bottom w:type="dxa" w:w="80"/>
              <w:right w:type="dxa" w:w="120"/>
            </w:tcMar>
          </w:tcPr>
          <w:p>
            <w:pPr>
              <w:spacing w:after="60" w:before="60" w:line="260"/>
            </w:pPr>
            <w:r>
              <w:rPr>
                <w:sz w:val="19"/>
                <w:szCs w:val="19"/>
              </w:rPr>
              <w:t xml:space="preserve">CLECAT</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EU forwarding, logistics and customs staff</w:t>
            </w:r>
          </w:p>
        </w:tc>
        <w:tc>
          <w:tcPr>
            <w:tcW w:type="dxa" w:w="2400"/>
            <w:tcMar>
              <w:top w:type="dxa" w:w="80"/>
              <w:left w:type="dxa" w:w="120"/>
              <w:bottom w:type="dxa" w:w="80"/>
              <w:right w:type="dxa" w:w="120"/>
            </w:tcMar>
          </w:tcPr>
          <w:p>
            <w:pPr>
              <w:spacing w:after="60" w:before="60" w:line="260"/>
            </w:pPr>
            <w:r>
              <w:rPr>
                <w:sz w:val="19"/>
                <w:szCs w:val="19"/>
              </w:rPr>
              <w:t xml:space="preserve">~1,000,000</w:t>
            </w:r>
          </w:p>
        </w:tc>
        <w:tc>
          <w:tcPr>
            <w:tcW w:type="dxa" w:w="3000"/>
            <w:tcMar>
              <w:top w:type="dxa" w:w="80"/>
              <w:left w:type="dxa" w:w="120"/>
              <w:bottom w:type="dxa" w:w="80"/>
              <w:right w:type="dxa" w:w="120"/>
            </w:tcMar>
          </w:tcPr>
          <w:p>
            <w:pPr>
              <w:spacing w:after="60" w:before="60" w:line="260"/>
            </w:pPr>
            <w:r>
              <w:rPr>
                <w:sz w:val="19"/>
                <w:szCs w:val="19"/>
              </w:rPr>
              <w:t xml:space="preserve">CLECAT</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Germany — leading forwarding and logistics companies</w:t>
            </w:r>
          </w:p>
        </w:tc>
        <w:tc>
          <w:tcPr>
            <w:tcW w:type="dxa" w:w="2400"/>
            <w:tcMar>
              <w:top w:type="dxa" w:w="80"/>
              <w:left w:type="dxa" w:w="120"/>
              <w:bottom w:type="dxa" w:w="80"/>
              <w:right w:type="dxa" w:w="120"/>
            </w:tcMar>
          </w:tcPr>
          <w:p>
            <w:pPr>
              <w:spacing w:after="60" w:before="60" w:line="260"/>
            </w:pPr>
            <w:r>
              <w:rPr>
                <w:sz w:val="19"/>
                <w:szCs w:val="19"/>
              </w:rPr>
              <w:t xml:space="preserve">~2,500</w:t>
            </w:r>
          </w:p>
        </w:tc>
        <w:tc>
          <w:tcPr>
            <w:tcW w:type="dxa" w:w="3000"/>
            <w:tcMar>
              <w:top w:type="dxa" w:w="80"/>
              <w:left w:type="dxa" w:w="120"/>
              <w:bottom w:type="dxa" w:w="80"/>
              <w:right w:type="dxa" w:w="120"/>
            </w:tcMar>
          </w:tcPr>
          <w:p>
            <w:pPr>
              <w:spacing w:after="60" w:before="60" w:line="260"/>
            </w:pPr>
            <w:r>
              <w:rPr>
                <w:sz w:val="19"/>
                <w:szCs w:val="19"/>
              </w:rPr>
              <w:t xml:space="preserve">DSLV</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Germany — sector employees / annual revenue</w:t>
            </w:r>
          </w:p>
        </w:tc>
        <w:tc>
          <w:tcPr>
            <w:tcW w:type="dxa" w:w="2400"/>
            <w:tcMar>
              <w:top w:type="dxa" w:w="80"/>
              <w:left w:type="dxa" w:w="120"/>
              <w:bottom w:type="dxa" w:w="80"/>
              <w:right w:type="dxa" w:w="120"/>
            </w:tcMar>
          </w:tcPr>
          <w:p>
            <w:pPr>
              <w:spacing w:after="60" w:before="60" w:line="260"/>
            </w:pPr>
            <w:r>
              <w:rPr>
                <w:sz w:val="19"/>
                <w:szCs w:val="19"/>
              </w:rPr>
              <w:t xml:space="preserve">600,000 / €123bn</w:t>
            </w:r>
          </w:p>
        </w:tc>
        <w:tc>
          <w:tcPr>
            <w:tcW w:type="dxa" w:w="3000"/>
            <w:tcMar>
              <w:top w:type="dxa" w:w="80"/>
              <w:left w:type="dxa" w:w="120"/>
              <w:bottom w:type="dxa" w:w="80"/>
              <w:right w:type="dxa" w:w="120"/>
            </w:tcMar>
          </w:tcPr>
          <w:p>
            <w:pPr>
              <w:spacing w:after="60" w:before="60" w:line="260"/>
            </w:pPr>
            <w:r>
              <w:rPr>
                <w:sz w:val="19"/>
                <w:szCs w:val="19"/>
              </w:rPr>
              <w:t xml:space="preserve">DSLV, October 2025</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UK — BIFA corporate members</w:t>
            </w:r>
          </w:p>
        </w:tc>
        <w:tc>
          <w:tcPr>
            <w:tcW w:type="dxa" w:w="2400"/>
            <w:tcMar>
              <w:top w:type="dxa" w:w="80"/>
              <w:left w:type="dxa" w:w="120"/>
              <w:bottom w:type="dxa" w:w="80"/>
              <w:right w:type="dxa" w:w="120"/>
            </w:tcMar>
          </w:tcPr>
          <w:p>
            <w:pPr>
              <w:spacing w:after="60" w:before="60" w:line="260"/>
            </w:pPr>
            <w:r>
              <w:rPr>
                <w:sz w:val="19"/>
                <w:szCs w:val="19"/>
              </w:rPr>
              <w:t xml:space="preserve">~1,700</w:t>
            </w:r>
          </w:p>
        </w:tc>
        <w:tc>
          <w:tcPr>
            <w:tcW w:type="dxa" w:w="3000"/>
            <w:tcMar>
              <w:top w:type="dxa" w:w="80"/>
              <w:left w:type="dxa" w:w="120"/>
              <w:bottom w:type="dxa" w:w="80"/>
              <w:right w:type="dxa" w:w="120"/>
            </w:tcMar>
          </w:tcPr>
          <w:p>
            <w:pPr>
              <w:spacing w:after="60" w:before="60" w:line="260"/>
            </w:pPr>
            <w:r>
              <w:rPr>
                <w:sz w:val="19"/>
                <w:szCs w:val="19"/>
              </w:rPr>
              <w:t xml:space="preserve">BIFA</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US — freight forwarding employer businesses</w:t>
            </w:r>
          </w:p>
        </w:tc>
        <w:tc>
          <w:tcPr>
            <w:tcW w:type="dxa" w:w="2400"/>
            <w:tcMar>
              <w:top w:type="dxa" w:w="80"/>
              <w:left w:type="dxa" w:w="120"/>
              <w:bottom w:type="dxa" w:w="80"/>
              <w:right w:type="dxa" w:w="120"/>
            </w:tcMar>
          </w:tcPr>
          <w:p>
            <w:pPr>
              <w:spacing w:after="60" w:before="60" w:line="260"/>
            </w:pPr>
            <w:r>
              <w:rPr>
                <w:sz w:val="19"/>
                <w:szCs w:val="19"/>
              </w:rPr>
              <w:t xml:space="preserve">15,418</w:t>
            </w:r>
          </w:p>
        </w:tc>
        <w:tc>
          <w:tcPr>
            <w:tcW w:type="dxa" w:w="3000"/>
            <w:tcMar>
              <w:top w:type="dxa" w:w="80"/>
              <w:left w:type="dxa" w:w="120"/>
              <w:bottom w:type="dxa" w:w="80"/>
              <w:right w:type="dxa" w:w="120"/>
            </w:tcMar>
          </w:tcPr>
          <w:p>
            <w:pPr>
              <w:spacing w:after="60" w:before="60" w:line="260"/>
            </w:pPr>
            <w:r>
              <w:rPr>
                <w:sz w:val="19"/>
                <w:szCs w:val="19"/>
              </w:rPr>
              <w:t xml:space="preserve">US Census, NAICS 488510, 2020</w:t>
            </w:r>
          </w:p>
        </w:tc>
      </w:tr>
      <w:tr>
        <w:trPr>
          <w:cantSplit/>
        </w:trPr>
        <w:tc>
          <w:tcPr>
            <w:tcW w:type="dxa" w:w="4680"/>
            <w:tcMar>
              <w:top w:type="dxa" w:w="80"/>
              <w:left w:type="dxa" w:w="120"/>
              <w:bottom w:type="dxa" w:w="80"/>
              <w:right w:type="dxa" w:w="120"/>
            </w:tcMar>
          </w:tcPr>
          <w:p>
            <w:pPr>
              <w:spacing w:after="60" w:before="60" w:line="260"/>
            </w:pPr>
            <w:r>
              <w:rPr>
                <w:sz w:val="19"/>
                <w:szCs w:val="19"/>
              </w:rPr>
              <w:t xml:space="preserve">US — sector employees / market size 2026</w:t>
            </w:r>
          </w:p>
        </w:tc>
        <w:tc>
          <w:tcPr>
            <w:tcW w:type="dxa" w:w="2400"/>
            <w:tcMar>
              <w:top w:type="dxa" w:w="80"/>
              <w:left w:type="dxa" w:w="120"/>
              <w:bottom w:type="dxa" w:w="80"/>
              <w:right w:type="dxa" w:w="120"/>
            </w:tcMar>
          </w:tcPr>
          <w:p>
            <w:pPr>
              <w:spacing w:after="60" w:before="60" w:line="260"/>
            </w:pPr>
            <w:r>
              <w:rPr>
                <w:sz w:val="19"/>
                <w:szCs w:val="19"/>
              </w:rPr>
              <w:t xml:space="preserve">347,783 / US$127.7bn</w:t>
            </w:r>
          </w:p>
        </w:tc>
        <w:tc>
          <w:tcPr>
            <w:tcW w:type="dxa" w:w="3000"/>
            <w:tcMar>
              <w:top w:type="dxa" w:w="80"/>
              <w:left w:type="dxa" w:w="120"/>
              <w:bottom w:type="dxa" w:w="80"/>
              <w:right w:type="dxa" w:w="120"/>
            </w:tcMar>
          </w:tcPr>
          <w:p>
            <w:pPr>
              <w:spacing w:after="60" w:before="60" w:line="260"/>
            </w:pPr>
            <w:r>
              <w:rPr>
                <w:sz w:val="19"/>
                <w:szCs w:val="19"/>
              </w:rPr>
              <w:t xml:space="preserve">IBISWorld</w:t>
            </w:r>
          </w:p>
        </w:tc>
      </w:tr>
    </w:tbl>
    <w:p>
      <w:pPr>
        <w:spacing w:after="160"/>
      </w:pPr>
    </w:p>
    <w:p>
      <w:pPr>
        <w:pStyle w:val="Heading2"/>
        <w:spacing w:after="120" w:before="260"/>
      </w:pPr>
      <w:r>
        <w:t xml:space="preserve">13.2 The two approaches</w:t>
      </w:r>
    </w:p>
    <w:p>
      <w:pPr>
        <w:spacing w:after="140" w:line="276"/>
      </w:pPr>
      <w:r>
        <w:rPr>
          <w:b/>
          <w:bCs/>
        </w:rPr>
        <w:t xml:space="preserve">Approach A — labour-value TAM: </w:t>
      </w:r>
      <w:r>
        <w:t xml:space="preserve">~1.43m forwarding staff across the three regions × ~50% in operational roles × fully loaded cost (€62k EU / €58k UK / €78k US) gives roughly €47bn of ops labour. Taking 60% of that work as addressable by agents and a 12% vendor value-capture rate yields a TAM of roughly </w:t>
      </w:r>
      <w:r>
        <w:rPr>
          <w:b/>
          <w:bCs/>
        </w:rPr>
        <w:t xml:space="preserve">€3.4bn a year</w:t>
      </w:r>
      <w:r>
        <w:t xml:space="preserve"> (EU €2.2bn, UK €0.2bn, US €1.0bn). This is the ceiling on the category, not on any one vendor — and the operational-share and value-capture assumptions are the two least evidenced numbers in the model.</w:t>
      </w:r>
    </w:p>
    <w:p>
      <w:pPr>
        <w:spacing w:after="140" w:line="276"/>
      </w:pPr>
      <w:r>
        <w:rPr>
          <w:b/>
          <w:bCs/>
        </w:rPr>
        <w:t xml:space="preserve">Approach B — bottom-up firm count: </w:t>
      </w:r>
      <w:r>
        <w:t xml:space="preserve">of ~36,000 registered forwarding companies across the three regions, roughly 4–6% sit in 5U AI's stated 100–500 employee ICP — about </w:t>
      </w:r>
      <w:r>
        <w:rPr>
          <w:b/>
          <w:bCs/>
        </w:rPr>
        <w:t xml:space="preserve">1,479 companies</w:t>
      </w:r>
      <w:r>
        <w:t xml:space="preserve">. At a mature ACV of €75–85k, full penetration of that ICP is worth about </w:t>
      </w:r>
      <w:r>
        <w:rPr>
          <w:b/>
          <w:bCs/>
        </w:rPr>
        <w:t xml:space="preserve">€117m a year</w:t>
      </w:r>
      <w:r>
        <w:t xml:space="preserve"> (EU €57m, UK €8m, US €52m). Widening the band to every forwarder above 50 employees lifts it to roughly €156m.</w:t>
      </w:r>
    </w:p>
    <w:p>
      <w:pPr>
        <w:spacing w:after="140" w:line="276"/>
      </w:pPr>
      <w:r>
        <w:rPr>
          <w:b/>
          <w:bCs/>
        </w:rPr>
        <w:t xml:space="preserve">SOM — the realistic beachhead: </w:t>
      </w:r>
      <w:r>
        <w:t xml:space="preserve">DACH + Benelux holds roughly 28% of the EU forwarding base, giving ~213 core-ICP companies. At 12% three-year penetration and a €60k average ACV, year-3 ARR lands at roughly </w:t>
      </w:r>
      <w:r>
        <w:rPr>
          <w:b/>
          <w:bCs/>
        </w:rPr>
        <w:t xml:space="preserve">€1.5m</w:t>
      </w:r>
      <w:r>
        <w:t xml:space="preserve"> — which matches 5U AI's own language about scaling "toward €MM ARR". The model and the company's own framing agree, a reasonable sign neither is badly wrong.</w:t>
      </w:r>
    </w:p>
    <w:p>
      <w:pPr>
        <w:pStyle w:val="Heading2"/>
        <w:spacing w:after="120" w:before="260"/>
      </w:pPr>
      <w:r>
        <w:t xml:space="preserve">13.3 The finding</w:t>
      </w:r>
    </w:p>
    <w:p>
      <w:pPr>
        <w:spacing w:after="140" w:line="276"/>
      </w:pPr>
      <w:r>
        <w:t xml:space="preserve">The labour-value ceiling (€3.4bn) is roughly 29 times the reachable revenue at today's ICP and pricing (€117m). Put differently: the category currently captures one to three percent of the labour value it displaces. Three consequences follow.</w:t>
      </w:r>
    </w:p>
    <w:p>
      <w:pPr>
        <w:pStyle w:val="ListParagraph"/>
        <w:numPr>
          <w:ilvl w:val="0"/>
          <w:numId w:val="2"/>
        </w:numPr>
        <w:spacing w:after="90" w:line="276"/>
      </w:pPr>
      <w:r>
        <w:t xml:space="preserve">ACV headroom is enormous. A 150-person forwarder carries €2–3m of addressable ops labour against a €30–60k contract. Expansion within an account is worth more than winning new logos.</w:t>
      </w:r>
    </w:p>
    <w:p>
      <w:pPr>
        <w:pStyle w:val="ListParagraph"/>
        <w:numPr>
          <w:ilvl w:val="0"/>
          <w:numId w:val="2"/>
        </w:numPr>
        <w:spacing w:after="90" w:line="276"/>
      </w:pPr>
      <w:r>
        <w:t xml:space="preserve">The ICP is the binding constraint, not the technology. A few hundred beachhead companies is an arithmetic that no amount of product quality changes.</w:t>
      </w:r>
    </w:p>
    <w:p>
      <w:pPr>
        <w:pStyle w:val="ListParagraph"/>
        <w:numPr>
          <w:ilvl w:val="0"/>
          <w:numId w:val="2"/>
        </w:numPr>
        <w:spacing w:after="90" w:line="276"/>
      </w:pPr>
      <w:r>
        <w:t xml:space="preserve">A venture-scale outcome requires one of: going down-market with self-serve to reach the long tail, going up-market to global forwarders, or raising ACV five to ten times by covering the whole operations floor.</w:t>
      </w:r>
    </w:p>
    <w:p>
      <w:pPr>
        <w:spacing w:after="140" w:line="276"/>
      </w:pPr>
      <w:r>
        <w:t xml:space="preserve">Caveats: company counts come from association registers, not complete universes; the UK staff figure is an estimate; the ICP share is derived from the economy-wide EU size distribution rather than forwarding-specific data; and USD and EUR are treated as broadly equivalent at this level of precision.</w:t>
      </w:r>
    </w:p>
    <w:p>
      <w:pPr>
        <w:pStyle w:val="Heading1"/>
        <w:spacing w:after="160" w:before="360"/>
      </w:pPr>
      <w:r>
        <w:t xml:space="preserve">14. Competitor GTM strategies and ICPs</w:t>
      </w:r>
    </w:p>
    <w:p>
      <w:pPr>
        <w:spacing w:after="140" w:line="276"/>
      </w:pPr>
      <w:r>
        <w:t xml:space="preserve">How each funded competitor sells and who they sell to, compiled from vendor sites, funding coverage, job specifications and partner announcements. The full 16-company, 12-column grid sits on the "GTM and ICP" tab of the companion workbook; this section carries the synthesis.</w:t>
      </w:r>
    </w:p>
    <w:p>
      <w:pPr>
        <w:pStyle w:val="Heading2"/>
        <w:spacing w:after="120" w:before="260"/>
      </w:pPr>
      <w:r>
        <w:t xml:space="preserve">14.1 Five GTM archetypes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980"/>
      </w:tblGrid>
      <w:tr>
        <w:trPr>
          <w:cantSplit/>
          <w:tblHeader/>
        </w:trPr>
        <w:tc>
          <w:tcPr>
            <w:tcW w:type="dxa" w:w="2200"/>
            <w:shd w:fill="EDEAE4" w:color="auto" w:val="clear"/>
            <w:tcMar>
              <w:top w:type="dxa" w:w="80"/>
              <w:left w:type="dxa" w:w="120"/>
              <w:bottom w:type="dxa" w:w="80"/>
              <w:right w:type="dxa" w:w="120"/>
            </w:tcMar>
          </w:tcPr>
          <w:p>
            <w:pPr>
              <w:spacing w:after="60" w:before="60" w:line="260"/>
            </w:pPr>
            <w:r>
              <w:rPr>
                <w:b/>
                <w:bCs/>
                <w:sz w:val="19"/>
                <w:szCs w:val="19"/>
              </w:rPr>
              <w:t xml:space="preserve">Archetype</w:t>
            </w:r>
          </w:p>
        </w:tc>
        <w:tc>
          <w:tcPr>
            <w:tcW w:type="dxa" w:w="2900"/>
            <w:shd w:fill="EDEAE4" w:color="auto" w:val="clear"/>
            <w:tcMar>
              <w:top w:type="dxa" w:w="80"/>
              <w:left w:type="dxa" w:w="120"/>
              <w:bottom w:type="dxa" w:w="80"/>
              <w:right w:type="dxa" w:w="120"/>
            </w:tcMar>
          </w:tcPr>
          <w:p>
            <w:pPr>
              <w:spacing w:after="60" w:before="60" w:line="260"/>
            </w:pPr>
            <w:r>
              <w:rPr>
                <w:b/>
                <w:bCs/>
                <w:sz w:val="19"/>
                <w:szCs w:val="19"/>
              </w:rPr>
              <w:t xml:space="preserve">Who runs it</w:t>
            </w:r>
          </w:p>
        </w:tc>
        <w:tc>
          <w:tcPr>
            <w:tcW w:type="dxa" w:w="4980"/>
            <w:shd w:fill="EDEAE4" w:color="auto" w:val="clear"/>
            <w:tcMar>
              <w:top w:type="dxa" w:w="80"/>
              <w:left w:type="dxa" w:w="120"/>
              <w:bottom w:type="dxa" w:w="80"/>
              <w:right w:type="dxa" w:w="120"/>
            </w:tcMar>
          </w:tcPr>
          <w:p>
            <w:pPr>
              <w:spacing w:after="60" w:before="60" w:line="260"/>
            </w:pPr>
            <w:r>
              <w:rPr>
                <w:b/>
                <w:bCs/>
                <w:sz w:val="19"/>
                <w:szCs w:val="19"/>
              </w:rPr>
              <w:t xml:space="preserve">Character</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Forward-deployed enterprise</w:t>
            </w:r>
          </w:p>
        </w:tc>
        <w:tc>
          <w:tcPr>
            <w:tcW w:type="dxa" w:w="2900"/>
            <w:tcMar>
              <w:top w:type="dxa" w:w="80"/>
              <w:left w:type="dxa" w:w="120"/>
              <w:bottom w:type="dxa" w:w="80"/>
              <w:right w:type="dxa" w:w="120"/>
            </w:tcMar>
          </w:tcPr>
          <w:p>
            <w:pPr>
              <w:spacing w:after="60" w:before="60" w:line="260"/>
            </w:pPr>
            <w:r>
              <w:rPr>
                <w:sz w:val="19"/>
                <w:szCs w:val="19"/>
              </w:rPr>
              <w:t xml:space="preserve">5U AI, HappyRobot, Nexcade, Raft</w:t>
            </w:r>
          </w:p>
        </w:tc>
        <w:tc>
          <w:tcPr>
            <w:tcW w:type="dxa" w:w="4980"/>
            <w:tcMar>
              <w:top w:type="dxa" w:w="80"/>
              <w:left w:type="dxa" w:w="120"/>
              <w:bottom w:type="dxa" w:w="80"/>
              <w:right w:type="dxa" w:w="120"/>
            </w:tcMar>
          </w:tcPr>
          <w:p>
            <w:pPr>
              <w:spacing w:after="60" w:before="60" w:line="260"/>
            </w:pPr>
            <w:r>
              <w:rPr>
                <w:sz w:val="19"/>
                <w:szCs w:val="19"/>
              </w:rPr>
              <w:t xml:space="preserve">An engineer embeds, builds the deployment, the account expands. Highest ACV and trust, but capacity-bound: growth is limited by engineering hires, not demand.</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Product-led self-serve</w:t>
            </w:r>
          </w:p>
        </w:tc>
        <w:tc>
          <w:tcPr>
            <w:tcW w:type="dxa" w:w="2900"/>
            <w:tcMar>
              <w:top w:type="dxa" w:w="80"/>
              <w:left w:type="dxa" w:w="120"/>
              <w:bottom w:type="dxa" w:w="80"/>
              <w:right w:type="dxa" w:w="120"/>
            </w:tcMar>
          </w:tcPr>
          <w:p>
            <w:pPr>
              <w:spacing w:after="60" w:before="60" w:line="260"/>
            </w:pPr>
            <w:r>
              <w:rPr>
                <w:sz w:val="19"/>
                <w:szCs w:val="19"/>
              </w:rPr>
              <w:t xml:space="preserve">Levity, cargo.one SMB, Drumkit</w:t>
            </w:r>
          </w:p>
        </w:tc>
        <w:tc>
          <w:tcPr>
            <w:tcW w:type="dxa" w:w="4980"/>
            <w:tcMar>
              <w:top w:type="dxa" w:w="80"/>
              <w:left w:type="dxa" w:w="120"/>
              <w:bottom w:type="dxa" w:w="80"/>
              <w:right w:type="dxa" w:w="120"/>
            </w:tcMar>
          </w:tcPr>
          <w:p>
            <w:pPr>
              <w:spacing w:after="60" w:before="60" w:line="260"/>
            </w:pPr>
            <w:r>
              <w:rPr>
                <w:sz w:val="19"/>
                <w:szCs w:val="19"/>
              </w:rPr>
              <w:t xml:space="preserve">Published price, card payment, no sales conversation. Reaches the long tail forward-deployed delivery can never serve economically.</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Two-sided marketplace</w:t>
            </w:r>
          </w:p>
        </w:tc>
        <w:tc>
          <w:tcPr>
            <w:tcW w:type="dxa" w:w="2900"/>
            <w:tcMar>
              <w:top w:type="dxa" w:w="80"/>
              <w:left w:type="dxa" w:w="120"/>
              <w:bottom w:type="dxa" w:w="80"/>
              <w:right w:type="dxa" w:w="120"/>
            </w:tcMar>
          </w:tcPr>
          <w:p>
            <w:pPr>
              <w:spacing w:after="60" w:before="60" w:line="260"/>
            </w:pPr>
            <w:r>
              <w:rPr>
                <w:sz w:val="19"/>
                <w:szCs w:val="19"/>
              </w:rPr>
              <w:t xml:space="preserve">cargo.one, Freightos</w:t>
            </w:r>
          </w:p>
        </w:tc>
        <w:tc>
          <w:tcPr>
            <w:tcW w:type="dxa" w:w="4980"/>
            <w:tcMar>
              <w:top w:type="dxa" w:w="80"/>
              <w:left w:type="dxa" w:w="120"/>
              <w:bottom w:type="dxa" w:w="80"/>
              <w:right w:type="dxa" w:w="120"/>
            </w:tcMar>
          </w:tcPr>
          <w:p>
            <w:pPr>
              <w:spacing w:after="60" w:before="60" w:line="260"/>
            </w:pPr>
            <w:r>
              <w:rPr>
                <w:sz w:val="19"/>
                <w:szCs w:val="19"/>
              </w:rPr>
              <w:t xml:space="preserve">The carrier side funds distribution to the forwarder side. Structurally the strongest position, hardest to build from a standing start.</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Partnership-as-distribution</w:t>
            </w:r>
          </w:p>
        </w:tc>
        <w:tc>
          <w:tcPr>
            <w:tcW w:type="dxa" w:w="2900"/>
            <w:tcMar>
              <w:top w:type="dxa" w:w="80"/>
              <w:left w:type="dxa" w:w="120"/>
              <w:bottom w:type="dxa" w:w="80"/>
              <w:right w:type="dxa" w:w="120"/>
            </w:tcMar>
          </w:tcPr>
          <w:p>
            <w:pPr>
              <w:spacing w:after="60" w:before="60" w:line="260"/>
            </w:pPr>
            <w:r>
              <w:rPr>
                <w:sz w:val="19"/>
                <w:szCs w:val="19"/>
              </w:rPr>
              <w:t xml:space="preserve">Raft (CargoWise, PayCargo), Wisor (Lufthansa Cargo, Emirates SkyCargo), HappyRobot (project44), Vooma (Highway)</w:t>
            </w:r>
          </w:p>
        </w:tc>
        <w:tc>
          <w:tcPr>
            <w:tcW w:type="dxa" w:w="4980"/>
            <w:tcMar>
              <w:top w:type="dxa" w:w="80"/>
              <w:left w:type="dxa" w:w="120"/>
              <w:bottom w:type="dxa" w:w="80"/>
              <w:right w:type="dxa" w:w="120"/>
            </w:tcMar>
          </w:tcPr>
          <w:p>
            <w:pPr>
              <w:spacing w:after="60" w:before="60" w:line="260"/>
            </w:pPr>
            <w:r>
              <w:rPr>
                <w:sz w:val="19"/>
                <w:szCs w:val="19"/>
              </w:rPr>
              <w:t xml:space="preserve">Being the documented integration wins deals before a salesperson is involved.</w:t>
            </w:r>
          </w:p>
        </w:tc>
      </w:tr>
      <w:tr>
        <w:trPr>
          <w:cantSplit/>
        </w:trPr>
        <w:tc>
          <w:tcPr>
            <w:tcW w:type="dxa" w:w="2200"/>
            <w:tcMar>
              <w:top w:type="dxa" w:w="80"/>
              <w:left w:type="dxa" w:w="120"/>
              <w:bottom w:type="dxa" w:w="80"/>
              <w:right w:type="dxa" w:w="120"/>
            </w:tcMar>
          </w:tcPr>
          <w:p>
            <w:pPr>
              <w:spacing w:after="60" w:before="60" w:line="260"/>
            </w:pPr>
            <w:r>
              <w:rPr>
                <w:sz w:val="19"/>
                <w:szCs w:val="19"/>
              </w:rPr>
              <w:t xml:space="preserve">Comparison-page demand capture</w:t>
            </w:r>
          </w:p>
        </w:tc>
        <w:tc>
          <w:tcPr>
            <w:tcW w:type="dxa" w:w="2900"/>
            <w:tcMar>
              <w:top w:type="dxa" w:w="80"/>
              <w:left w:type="dxa" w:w="120"/>
              <w:bottom w:type="dxa" w:w="80"/>
              <w:right w:type="dxa" w:w="120"/>
            </w:tcMar>
          </w:tcPr>
          <w:p>
            <w:pPr>
              <w:spacing w:after="60" w:before="60" w:line="260"/>
            </w:pPr>
            <w:r>
              <w:rPr>
                <w:sz w:val="19"/>
                <w:szCs w:val="19"/>
              </w:rPr>
              <w:t xml:space="preserve">Vooma</w:t>
            </w:r>
          </w:p>
        </w:tc>
        <w:tc>
          <w:tcPr>
            <w:tcW w:type="dxa" w:w="4980"/>
            <w:tcMar>
              <w:top w:type="dxa" w:w="80"/>
              <w:left w:type="dxa" w:w="120"/>
              <w:bottom w:type="dxa" w:w="80"/>
              <w:right w:type="dxa" w:w="120"/>
            </w:tcMar>
          </w:tcPr>
          <w:p>
            <w:pPr>
              <w:spacing w:after="60" w:before="60" w:line="260"/>
            </w:pPr>
            <w:r>
              <w:rPr>
                <w:sz w:val="19"/>
                <w:szCs w:val="19"/>
              </w:rPr>
              <w:t xml:space="preserve">Publishes head-to-head pages against eight named rivals; captures buyers already in evaluation at near-zero cost.</w:t>
            </w:r>
          </w:p>
        </w:tc>
      </w:tr>
    </w:tbl>
    <w:p>
      <w:pPr>
        <w:spacing w:after="160"/>
      </w:pPr>
    </w:p>
    <w:p>
      <w:pPr>
        <w:pStyle w:val="Heading2"/>
        <w:spacing w:after="120" w:before="260"/>
      </w:pPr>
      <w:r>
        <w:t xml:space="preserve">14.2 ICP patterns</w:t>
      </w:r>
    </w:p>
    <w:p>
      <w:pPr>
        <w:pStyle w:val="ListParagraph"/>
        <w:numPr>
          <w:ilvl w:val="0"/>
          <w:numId w:val="2"/>
        </w:numPr>
        <w:spacing w:after="90" w:line="276"/>
      </w:pPr>
      <w:r>
        <w:t xml:space="preserve">The US cohort sells to brokers. HappyRobot, Vooma, FleetWorks, Lanesurf, Drumkit and Parade all target freight brokerages and road transport — a larger, faster market, which is exactly why it is crowded.</w:t>
      </w:r>
    </w:p>
    <w:p>
      <w:pPr>
        <w:pStyle w:val="ListParagraph"/>
        <w:numPr>
          <w:ilvl w:val="0"/>
          <w:numId w:val="2"/>
        </w:numPr>
        <w:spacing w:after="90" w:line="276"/>
      </w:pPr>
      <w:r>
        <w:t xml:space="preserve">The EU/UK cohort sells to forwarders. 5U AI, Nexcade, Raft and cargo.one all target air and ocean forwarding. This is the contested lane, with four funded participants — one of which owns the booking rail.</w:t>
      </w:r>
    </w:p>
    <w:p>
      <w:pPr>
        <w:pStyle w:val="ListParagraph"/>
        <w:numPr>
          <w:ilvl w:val="0"/>
          <w:numId w:val="2"/>
        </w:numPr>
        <w:spacing w:after="90" w:line="276"/>
      </w:pPr>
      <w:r>
        <w:t xml:space="preserve">Everyone is drifting toward the same ICP. HappyRobot expanded from brokers into 3PLs, 4PLs, retailers and manufacturers; Nexcade has moved into the US; Cargofy already spans Europe, the US and the Caspian. Segment and geographic moats are thinner than any vendor's positioning suggests.</w:t>
      </w:r>
    </w:p>
    <w:p>
      <w:pPr>
        <w:pStyle w:val="ListParagraph"/>
        <w:numPr>
          <w:ilvl w:val="0"/>
          <w:numId w:val="2"/>
        </w:numPr>
        <w:spacing w:after="90" w:line="276"/>
      </w:pPr>
      <w:r>
        <w:t xml:space="preserve">Size band is the real differentiator. Cargofy monetises sub-100-employee accounts at ~US$5,000 each; cargo.one reaches the SMB tail self-serve. 5U AI's 100–500 band is the narrowest ICP of any funded player — a few hundred beachhead companies.</w:t>
      </w:r>
    </w:p>
    <w:p>
      <w:pPr>
        <w:pStyle w:val="Heading2"/>
        <w:spacing w:after="120" w:before="260"/>
      </w:pPr>
      <w:r>
        <w:t xml:space="preserve">14.3 Implications for 5U AI</w:t>
      </w:r>
    </w:p>
    <w:p>
      <w:pPr>
        <w:pStyle w:val="ListParagraph"/>
        <w:numPr>
          <w:ilvl w:val="0"/>
          <w:numId w:val="2"/>
        </w:numPr>
        <w:spacing w:after="90" w:line="276"/>
      </w:pPr>
      <w:r>
        <w:t xml:space="preserve">Missing: a partner channel. Every scaled competitor has one. 5U AI already integrates WiseTech and Timocom but markets neither as a channel.</w:t>
      </w:r>
    </w:p>
    <w:p>
      <w:pPr>
        <w:pStyle w:val="ListParagraph"/>
        <w:numPr>
          <w:ilvl w:val="0"/>
          <w:numId w:val="2"/>
        </w:numPr>
        <w:spacing w:after="90" w:line="276"/>
      </w:pPr>
      <w:r>
        <w:t xml:space="preserve">Missing: published content. Two blog posts total, against Reform's podcast-and-case-study engine and Vooma's comparison pages — both cheap, neither requiring the commercial hire first.</w:t>
      </w:r>
    </w:p>
    <w:p>
      <w:pPr>
        <w:pStyle w:val="ListParagraph"/>
        <w:numPr>
          <w:ilvl w:val="0"/>
          <w:numId w:val="2"/>
        </w:numPr>
        <w:spacing w:after="90" w:line="276"/>
      </w:pPr>
      <w:r>
        <w:t xml:space="preserve">Missing: a named reference at scale. Nexcade lists XPO and Zencargo at seed; 5U AI lists one customer. In a market that buys on peer proof, this is the most valuable thing the first commercial hire could produce.</w:t>
      </w:r>
    </w:p>
    <w:p>
      <w:pPr>
        <w:pStyle w:val="ListParagraph"/>
        <w:numPr>
          <w:ilvl w:val="0"/>
          <w:numId w:val="2"/>
        </w:numPr>
        <w:spacing w:after="90" w:line="276"/>
      </w:pPr>
      <w:r>
        <w:t xml:space="preserve">Risk: cargo.one owns distribution. 28,000 forwarders already transact on its platform; it does not need to win a sales cycle to reach 5U AI's prospects.</w:t>
      </w:r>
    </w:p>
    <w:p>
      <w:pPr>
        <w:pStyle w:val="Heading1"/>
        <w:spacing w:after="160" w:before="360"/>
      </w:pPr>
      <w:r>
        <w:t xml:space="preserve">15. Whitespace analysis</w:t>
      </w:r>
    </w:p>
    <w:p>
      <w:pPr>
        <w:spacing w:after="140" w:line="276"/>
      </w:pPr>
      <w:r>
        <w:t xml:space="preserve">Where demand exists and no funded competitor is positioned well — derived by crossing the feature matrix (which workflows are covered), the GTM grid (which motions are run), and the market sizing (which segments are reachable). Ordered by how actionable each space is for 5U AI specifically.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700"/>
        <w:gridCol w:w="2500"/>
        <w:gridCol w:w="2580"/>
      </w:tblGrid>
      <w:tr>
        <w:trPr>
          <w:cantSplit/>
          <w:tblHeader/>
        </w:trPr>
        <w:tc>
          <w:tcPr>
            <w:tcW w:type="dxa" w:w="400"/>
            <w:shd w:fill="EDEAE4" w:color="auto" w:val="clear"/>
            <w:tcMar>
              <w:top w:type="dxa" w:w="80"/>
              <w:left w:type="dxa" w:w="120"/>
              <w:bottom w:type="dxa" w:w="80"/>
              <w:right w:type="dxa" w:w="120"/>
            </w:tcMar>
          </w:tcPr>
          <w:p>
            <w:pPr>
              <w:spacing w:after="60" w:before="60" w:line="260"/>
            </w:pPr>
            <w:r>
              <w:rPr>
                <w:b/>
                <w:bCs/>
                <w:sz w:val="19"/>
                <w:szCs w:val="19"/>
              </w:rPr>
              <w:t xml:space="preserve">#</w:t>
            </w:r>
          </w:p>
        </w:tc>
        <w:tc>
          <w:tcPr>
            <w:tcW w:type="dxa" w:w="1900"/>
            <w:shd w:fill="EDEAE4" w:color="auto" w:val="clear"/>
            <w:tcMar>
              <w:top w:type="dxa" w:w="80"/>
              <w:left w:type="dxa" w:w="120"/>
              <w:bottom w:type="dxa" w:w="80"/>
              <w:right w:type="dxa" w:w="120"/>
            </w:tcMar>
          </w:tcPr>
          <w:p>
            <w:pPr>
              <w:spacing w:after="60" w:before="60" w:line="260"/>
            </w:pPr>
            <w:r>
              <w:rPr>
                <w:b/>
                <w:bCs/>
                <w:sz w:val="19"/>
                <w:szCs w:val="19"/>
              </w:rPr>
              <w:t xml:space="preserve">Whitespace</w:t>
            </w:r>
          </w:p>
        </w:tc>
        <w:tc>
          <w:tcPr>
            <w:tcW w:type="dxa" w:w="2700"/>
            <w:shd w:fill="EDEAE4" w:color="auto" w:val="clear"/>
            <w:tcMar>
              <w:top w:type="dxa" w:w="80"/>
              <w:left w:type="dxa" w:w="120"/>
              <w:bottom w:type="dxa" w:w="80"/>
              <w:right w:type="dxa" w:w="120"/>
            </w:tcMar>
          </w:tcPr>
          <w:p>
            <w:pPr>
              <w:spacing w:after="60" w:before="60" w:line="260"/>
            </w:pPr>
            <w:r>
              <w:rPr>
                <w:b/>
                <w:bCs/>
                <w:sz w:val="19"/>
                <w:szCs w:val="19"/>
              </w:rPr>
              <w:t xml:space="preserve">Why it is open</w:t>
            </w:r>
          </w:p>
        </w:tc>
        <w:tc>
          <w:tcPr>
            <w:tcW w:type="dxa" w:w="2500"/>
            <w:shd w:fill="EDEAE4" w:color="auto" w:val="clear"/>
            <w:tcMar>
              <w:top w:type="dxa" w:w="80"/>
              <w:left w:type="dxa" w:w="120"/>
              <w:bottom w:type="dxa" w:w="80"/>
              <w:right w:type="dxa" w:w="120"/>
            </w:tcMar>
          </w:tcPr>
          <w:p>
            <w:pPr>
              <w:spacing w:after="60" w:before="60" w:line="260"/>
            </w:pPr>
            <w:r>
              <w:rPr>
                <w:b/>
                <w:bCs/>
                <w:sz w:val="19"/>
                <w:szCs w:val="19"/>
              </w:rPr>
              <w:t xml:space="preserve">Evidence</w:t>
            </w:r>
          </w:p>
        </w:tc>
        <w:tc>
          <w:tcPr>
            <w:tcW w:type="dxa" w:w="2580"/>
            <w:shd w:fill="EDEAE4" w:color="auto" w:val="clear"/>
            <w:tcMar>
              <w:top w:type="dxa" w:w="80"/>
              <w:left w:type="dxa" w:w="120"/>
              <w:bottom w:type="dxa" w:w="80"/>
              <w:right w:type="dxa" w:w="120"/>
            </w:tcMar>
          </w:tcPr>
          <w:p>
            <w:pPr>
              <w:spacing w:after="60" w:before="60" w:line="260"/>
            </w:pPr>
            <w:r>
              <w:rPr>
                <w:b/>
                <w:bCs/>
                <w:sz w:val="19"/>
                <w:szCs w:val="19"/>
              </w:rPr>
              <w:t xml:space="preserve">For 5U AI</w:t>
            </w:r>
          </w:p>
        </w:tc>
      </w:tr>
      <w:tr>
        <w:trPr>
          <w:cantSplit/>
        </w:trPr>
        <w:tc>
          <w:tcPr>
            <w:tcW w:type="dxa" w:w="400"/>
            <w:tcMar>
              <w:top w:type="dxa" w:w="80"/>
              <w:left w:type="dxa" w:w="120"/>
              <w:bottom w:type="dxa" w:w="80"/>
              <w:right w:type="dxa" w:w="120"/>
            </w:tcMar>
          </w:tcPr>
          <w:p>
            <w:pPr>
              <w:spacing w:after="60" w:before="60" w:line="260"/>
            </w:pPr>
            <w:r>
              <w:rPr>
                <w:sz w:val="19"/>
                <w:szCs w:val="19"/>
              </w:rPr>
              <w:t xml:space="preserve">1</w:t>
            </w:r>
          </w:p>
        </w:tc>
        <w:tc>
          <w:tcPr>
            <w:tcW w:type="dxa" w:w="1900"/>
            <w:tcMar>
              <w:top w:type="dxa" w:w="80"/>
              <w:left w:type="dxa" w:w="120"/>
              <w:bottom w:type="dxa" w:w="80"/>
              <w:right w:type="dxa" w:w="120"/>
            </w:tcMar>
          </w:tcPr>
          <w:p>
            <w:pPr>
              <w:spacing w:after="60" w:before="60" w:line="260"/>
            </w:pPr>
            <w:r>
              <w:rPr>
                <w:sz w:val="19"/>
                <w:szCs w:val="19"/>
              </w:rPr>
              <w:t xml:space="preserve">Self-serve agentic product for sub-100-employee forwarders</w:t>
            </w:r>
          </w:p>
        </w:tc>
        <w:tc>
          <w:tcPr>
            <w:tcW w:type="dxa" w:w="2700"/>
            <w:tcMar>
              <w:top w:type="dxa" w:w="80"/>
              <w:left w:type="dxa" w:w="120"/>
              <w:bottom w:type="dxa" w:w="80"/>
              <w:right w:type="dxa" w:w="120"/>
            </w:tcMar>
          </w:tcPr>
          <w:p>
            <w:pPr>
              <w:spacing w:after="60" w:before="60" w:line="260"/>
            </w:pPr>
            <w:r>
              <w:rPr>
                <w:sz w:val="19"/>
                <w:szCs w:val="19"/>
              </w:rPr>
              <w:t xml:space="preserve">Every agentic vendor in EU forwarding is sales-led and forward-deployed; the long tail cannot be served economically that way. Levity is self-serve but stops at email classification — it does not execute.</w:t>
            </w:r>
          </w:p>
        </w:tc>
        <w:tc>
          <w:tcPr>
            <w:tcW w:type="dxa" w:w="2500"/>
            <w:tcMar>
              <w:top w:type="dxa" w:w="80"/>
              <w:left w:type="dxa" w:w="120"/>
              <w:bottom w:type="dxa" w:w="80"/>
              <w:right w:type="dxa" w:w="120"/>
            </w:tcMar>
          </w:tcPr>
          <w:p>
            <w:pPr>
              <w:spacing w:after="60" w:before="60" w:line="260"/>
            </w:pPr>
            <w:r>
              <w:rPr>
                <w:sz w:val="19"/>
                <w:szCs w:val="19"/>
              </w:rPr>
              <w:t xml:space="preserve">Feature matrix: "self-serve sign-up" is No or Unknown for every agentic vendor. Market sizing: the sub-100 tail is the majority of ~19,000 EU forwarders and is excluded from every funded player's ICP.</w:t>
            </w:r>
          </w:p>
        </w:tc>
        <w:tc>
          <w:tcPr>
            <w:tcW w:type="dxa" w:w="2580"/>
            <w:tcMar>
              <w:top w:type="dxa" w:w="80"/>
              <w:left w:type="dxa" w:w="120"/>
              <w:bottom w:type="dxa" w:w="80"/>
              <w:right w:type="dxa" w:w="120"/>
            </w:tcMar>
          </w:tcPr>
          <w:p>
            <w:pPr>
              <w:spacing w:after="60" w:before="60" w:line="260"/>
            </w:pPr>
            <w:r>
              <w:rPr>
                <w:sz w:val="19"/>
                <w:szCs w:val="19"/>
              </w:rPr>
              <w:t xml:space="preserve">The single largest structural opportunity, and the one the market-sizing arithmetic demands. A cut-down, one-Worker, fixed-price product (~€500–1,000/month) would be the first true PLG agentic offer in EU forwarding.</w:t>
            </w:r>
          </w:p>
        </w:tc>
      </w:tr>
      <w:tr>
        <w:trPr>
          <w:cantSplit/>
        </w:trPr>
        <w:tc>
          <w:tcPr>
            <w:tcW w:type="dxa" w:w="400"/>
            <w:tcMar>
              <w:top w:type="dxa" w:w="80"/>
              <w:left w:type="dxa" w:w="120"/>
              <w:bottom w:type="dxa" w:w="80"/>
              <w:right w:type="dxa" w:w="120"/>
            </w:tcMar>
          </w:tcPr>
          <w:p>
            <w:pPr>
              <w:spacing w:after="60" w:before="60" w:line="260"/>
            </w:pPr>
            <w:r>
              <w:rPr>
                <w:sz w:val="19"/>
                <w:szCs w:val="19"/>
              </w:rPr>
              <w:t xml:space="preserve">2</w:t>
            </w:r>
          </w:p>
        </w:tc>
        <w:tc>
          <w:tcPr>
            <w:tcW w:type="dxa" w:w="1900"/>
            <w:tcMar>
              <w:top w:type="dxa" w:w="80"/>
              <w:left w:type="dxa" w:w="120"/>
              <w:bottom w:type="dxa" w:w="80"/>
              <w:right w:type="dxa" w:w="120"/>
            </w:tcMar>
          </w:tcPr>
          <w:p>
            <w:pPr>
              <w:spacing w:after="60" w:before="60" w:line="260"/>
            </w:pPr>
            <w:r>
              <w:rPr>
                <w:sz w:val="19"/>
                <w:szCs w:val="19"/>
              </w:rPr>
              <w:t xml:space="preserve">Customs and compliance workflow</w:t>
            </w:r>
          </w:p>
        </w:tc>
        <w:tc>
          <w:tcPr>
            <w:tcW w:type="dxa" w:w="2700"/>
            <w:tcMar>
              <w:top w:type="dxa" w:w="80"/>
              <w:left w:type="dxa" w:w="120"/>
              <w:bottom w:type="dxa" w:w="80"/>
              <w:right w:type="dxa" w:w="120"/>
            </w:tcMar>
          </w:tcPr>
          <w:p>
            <w:pPr>
              <w:spacing w:after="60" w:before="60" w:line="260"/>
            </w:pPr>
            <w:r>
              <w:rPr>
                <w:sz w:val="19"/>
                <w:szCs w:val="19"/>
              </w:rPr>
              <w:t xml:space="preserve">The one major forwarding workflow no agentic worker covers. Only Digicust (€2.3m seed) addresses it, as a point solution — and the EU Customs Reform digitises core processes from 2026, forcing every forwarder to change how declarations are filed.</w:t>
            </w:r>
          </w:p>
        </w:tc>
        <w:tc>
          <w:tcPr>
            <w:tcW w:type="dxa" w:w="2500"/>
            <w:tcMar>
              <w:top w:type="dxa" w:w="80"/>
              <w:left w:type="dxa" w:w="120"/>
              <w:bottom w:type="dxa" w:w="80"/>
              <w:right w:type="dxa" w:w="120"/>
            </w:tcMar>
          </w:tcPr>
          <w:p>
            <w:pPr>
              <w:spacing w:after="60" w:before="60" w:line="260"/>
            </w:pPr>
            <w:r>
              <w:rPr>
                <w:sz w:val="19"/>
                <w:szCs w:val="19"/>
              </w:rPr>
              <w:t xml:space="preserve">Feature matrix: customs is No for 5U AI, Nexcade, Cargofy, HappyRobot, Augment and Vooma alike. A regulatory forcing function with a structural deadline is rare.</w:t>
            </w:r>
          </w:p>
        </w:tc>
        <w:tc>
          <w:tcPr>
            <w:tcW w:type="dxa" w:w="2580"/>
            <w:tcMar>
              <w:top w:type="dxa" w:w="80"/>
              <w:left w:type="dxa" w:w="120"/>
              <w:bottom w:type="dxa" w:w="80"/>
              <w:right w:type="dxa" w:w="120"/>
            </w:tcMar>
          </w:tcPr>
          <w:p>
            <w:pPr>
              <w:spacing w:after="60" w:before="60" w:line="260"/>
            </w:pPr>
            <w:r>
              <w:rPr>
                <w:sz w:val="19"/>
                <w:szCs w:val="19"/>
              </w:rPr>
              <w:t xml:space="preserve">Partner with or acquire Digicust-class capability, or build a Customs Worker. Whoever adds customs to an agentic suite first claims "end-to-end" credibly — and closes the gap a rival could otherwise use against 5U AI.</w:t>
            </w:r>
          </w:p>
        </w:tc>
      </w:tr>
      <w:tr>
        <w:trPr>
          <w:cantSplit/>
        </w:trPr>
        <w:tc>
          <w:tcPr>
            <w:tcW w:type="dxa" w:w="400"/>
            <w:tcMar>
              <w:top w:type="dxa" w:w="80"/>
              <w:left w:type="dxa" w:w="120"/>
              <w:bottom w:type="dxa" w:w="80"/>
              <w:right w:type="dxa" w:w="120"/>
            </w:tcMar>
          </w:tcPr>
          <w:p>
            <w:pPr>
              <w:spacing w:after="60" w:before="60" w:line="260"/>
            </w:pPr>
            <w:r>
              <w:rPr>
                <w:sz w:val="19"/>
                <w:szCs w:val="19"/>
              </w:rPr>
              <w:t xml:space="preserve">3</w:t>
            </w:r>
          </w:p>
        </w:tc>
        <w:tc>
          <w:tcPr>
            <w:tcW w:type="dxa" w:w="1900"/>
            <w:tcMar>
              <w:top w:type="dxa" w:w="80"/>
              <w:left w:type="dxa" w:w="120"/>
              <w:bottom w:type="dxa" w:w="80"/>
              <w:right w:type="dxa" w:w="120"/>
            </w:tcMar>
          </w:tcPr>
          <w:p>
            <w:pPr>
              <w:spacing w:after="60" w:before="60" w:line="260"/>
            </w:pPr>
            <w:r>
              <w:rPr>
                <w:sz w:val="19"/>
                <w:szCs w:val="19"/>
              </w:rPr>
              <w:t xml:space="preserve">European road freight forwarding</w:t>
            </w:r>
          </w:p>
        </w:tc>
        <w:tc>
          <w:tcPr>
            <w:tcW w:type="dxa" w:w="2700"/>
            <w:tcMar>
              <w:top w:type="dxa" w:w="80"/>
              <w:left w:type="dxa" w:w="120"/>
              <w:bottom w:type="dxa" w:w="80"/>
              <w:right w:type="dxa" w:w="120"/>
            </w:tcMar>
          </w:tcPr>
          <w:p>
            <w:pPr>
              <w:spacing w:after="60" w:before="60" w:line="260"/>
            </w:pPr>
            <w:r>
              <w:rPr>
                <w:sz w:val="19"/>
                <w:szCs w:val="19"/>
              </w:rPr>
              <w:t xml:space="preserve">The US cohort automates road brokerage; the EU cohort automates air and ocean. European road forwarding and charter brokerage — the Timocom world — sits between them, served by neither.</w:t>
            </w:r>
          </w:p>
        </w:tc>
        <w:tc>
          <w:tcPr>
            <w:tcW w:type="dxa" w:w="2500"/>
            <w:tcMar>
              <w:top w:type="dxa" w:w="80"/>
              <w:left w:type="dxa" w:w="120"/>
              <w:bottom w:type="dxa" w:w="80"/>
              <w:right w:type="dxa" w:w="120"/>
            </w:tcMar>
          </w:tcPr>
          <w:p>
            <w:pPr>
              <w:spacing w:after="60" w:before="60" w:line="260"/>
            </w:pPr>
            <w:r>
              <w:rPr>
                <w:sz w:val="19"/>
                <w:szCs w:val="19"/>
              </w:rPr>
              <w:t xml:space="preserve">GTM grid: no funded player names EU road forwarders as ICP. 5U AI already integrates Timocom, the dominant European road freight exchange — the entry point exists and is unmarketed.</w:t>
            </w:r>
          </w:p>
        </w:tc>
        <w:tc>
          <w:tcPr>
            <w:tcW w:type="dxa" w:w="2580"/>
            <w:tcMar>
              <w:top w:type="dxa" w:w="80"/>
              <w:left w:type="dxa" w:w="120"/>
              <w:bottom w:type="dxa" w:w="80"/>
              <w:right w:type="dxa" w:w="120"/>
            </w:tcMar>
          </w:tcPr>
          <w:p>
            <w:pPr>
              <w:spacing w:after="60" w:before="60" w:line="260"/>
            </w:pPr>
            <w:r>
              <w:rPr>
                <w:sz w:val="19"/>
                <w:szCs w:val="19"/>
              </w:rPr>
              <w:t xml:space="preserve">Cheapest adjacent expansion: same buyer type, same country, an integration already built. A "Road Charter Worker" would face no direct funded competitor today.</w:t>
            </w:r>
          </w:p>
        </w:tc>
      </w:tr>
      <w:tr>
        <w:trPr>
          <w:cantSplit/>
        </w:trPr>
        <w:tc>
          <w:tcPr>
            <w:tcW w:type="dxa" w:w="400"/>
            <w:tcMar>
              <w:top w:type="dxa" w:w="80"/>
              <w:left w:type="dxa" w:w="120"/>
              <w:bottom w:type="dxa" w:w="80"/>
              <w:right w:type="dxa" w:w="120"/>
            </w:tcMar>
          </w:tcPr>
          <w:p>
            <w:pPr>
              <w:spacing w:after="60" w:before="60" w:line="260"/>
            </w:pPr>
            <w:r>
              <w:rPr>
                <w:sz w:val="19"/>
                <w:szCs w:val="19"/>
              </w:rPr>
              <w:t xml:space="preserve">4</w:t>
            </w:r>
          </w:p>
        </w:tc>
        <w:tc>
          <w:tcPr>
            <w:tcW w:type="dxa" w:w="1900"/>
            <w:tcMar>
              <w:top w:type="dxa" w:w="80"/>
              <w:left w:type="dxa" w:w="120"/>
              <w:bottom w:type="dxa" w:w="80"/>
              <w:right w:type="dxa" w:w="120"/>
            </w:tcMar>
          </w:tcPr>
          <w:p>
            <w:pPr>
              <w:spacing w:after="60" w:before="60" w:line="260"/>
            </w:pPr>
            <w:r>
              <w:rPr>
                <w:sz w:val="19"/>
                <w:szCs w:val="19"/>
              </w:rPr>
              <w:t xml:space="preserve">Multilingual voice for EU forwarding</w:t>
            </w:r>
          </w:p>
        </w:tc>
        <w:tc>
          <w:tcPr>
            <w:tcW w:type="dxa" w:w="2700"/>
            <w:tcMar>
              <w:top w:type="dxa" w:w="80"/>
              <w:left w:type="dxa" w:w="120"/>
              <w:bottom w:type="dxa" w:w="80"/>
              <w:right w:type="dxa" w:w="120"/>
            </w:tcMar>
          </w:tcPr>
          <w:p>
            <w:pPr>
              <w:spacing w:after="60" w:before="60" w:line="260"/>
            </w:pPr>
            <w:r>
              <w:rPr>
                <w:sz w:val="19"/>
                <w:szCs w:val="19"/>
              </w:rPr>
              <w:t xml:space="preserve">Voice AI is mature in US brokerage (FleetWorks, Lanesurf, CloneOps, HappyRobot) and absent in EU forwarding, where phone traffic is multilingual and no US stack handles DACH/Benelux languages or carrier habits well.</w:t>
            </w:r>
          </w:p>
        </w:tc>
        <w:tc>
          <w:tcPr>
            <w:tcW w:type="dxa" w:w="2500"/>
            <w:tcMar>
              <w:top w:type="dxa" w:w="80"/>
              <w:left w:type="dxa" w:w="120"/>
              <w:bottom w:type="dxa" w:w="80"/>
              <w:right w:type="dxa" w:w="120"/>
            </w:tcMar>
          </w:tcPr>
          <w:p>
            <w:pPr>
              <w:spacing w:after="60" w:before="60" w:line="260"/>
            </w:pPr>
            <w:r>
              <w:rPr>
                <w:sz w:val="19"/>
                <w:szCs w:val="19"/>
              </w:rPr>
              <w:t xml:space="preserve">Feature matrix: voice is Yes across the US cohort, No or Unknown across the EU forwarding cohort. 5U AI claims the channel but demonstrates email first.</w:t>
            </w:r>
          </w:p>
        </w:tc>
        <w:tc>
          <w:tcPr>
            <w:tcW w:type="dxa" w:w="2580"/>
            <w:tcMar>
              <w:top w:type="dxa" w:w="80"/>
              <w:left w:type="dxa" w:w="120"/>
              <w:bottom w:type="dxa" w:w="80"/>
              <w:right w:type="dxa" w:w="120"/>
            </w:tcMar>
          </w:tcPr>
          <w:p>
            <w:pPr>
              <w:spacing w:after="60" w:before="60" w:line="260"/>
            </w:pPr>
            <w:r>
              <w:rPr>
                <w:sz w:val="19"/>
                <w:szCs w:val="19"/>
              </w:rPr>
              <w:t xml:space="preserve">A defensible second act rather than a first move — the US players set the quality bar, but none of them is tuned for European languages or forwarding call patterns.</w:t>
            </w:r>
          </w:p>
        </w:tc>
      </w:tr>
      <w:tr>
        <w:trPr>
          <w:cantSplit/>
        </w:trPr>
        <w:tc>
          <w:tcPr>
            <w:tcW w:type="dxa" w:w="400"/>
            <w:tcMar>
              <w:top w:type="dxa" w:w="80"/>
              <w:left w:type="dxa" w:w="120"/>
              <w:bottom w:type="dxa" w:w="80"/>
              <w:right w:type="dxa" w:w="120"/>
            </w:tcMar>
          </w:tcPr>
          <w:p>
            <w:pPr>
              <w:spacing w:after="60" w:before="60" w:line="260"/>
            </w:pPr>
            <w:r>
              <w:rPr>
                <w:sz w:val="19"/>
                <w:szCs w:val="19"/>
              </w:rPr>
              <w:t xml:space="preserve">5</w:t>
            </w:r>
          </w:p>
        </w:tc>
        <w:tc>
          <w:tcPr>
            <w:tcW w:type="dxa" w:w="1900"/>
            <w:tcMar>
              <w:top w:type="dxa" w:w="80"/>
              <w:left w:type="dxa" w:w="120"/>
              <w:bottom w:type="dxa" w:w="80"/>
              <w:right w:type="dxa" w:w="120"/>
            </w:tcMar>
          </w:tcPr>
          <w:p>
            <w:pPr>
              <w:spacing w:after="60" w:before="60" w:line="260"/>
            </w:pPr>
            <w:r>
              <w:rPr>
                <w:sz w:val="19"/>
                <w:szCs w:val="19"/>
              </w:rPr>
              <w:t xml:space="preserve">TMS marketplace channel — "certified agentic layer for CargoWise"</w:t>
            </w:r>
          </w:p>
        </w:tc>
        <w:tc>
          <w:tcPr>
            <w:tcW w:type="dxa" w:w="2700"/>
            <w:tcMar>
              <w:top w:type="dxa" w:w="80"/>
              <w:left w:type="dxa" w:w="120"/>
              <w:bottom w:type="dxa" w:w="80"/>
              <w:right w:type="dxa" w:w="120"/>
            </w:tcMar>
          </w:tcPr>
          <w:p>
            <w:pPr>
              <w:spacing w:after="60" w:before="60" w:line="260"/>
            </w:pPr>
            <w:r>
              <w:rPr>
                <w:sz w:val="19"/>
                <w:szCs w:val="19"/>
              </w:rPr>
              <w:t xml:space="preserve">Raft markets its CargoWise integration and wins deals through it, but no vendor owns the position of the certified agentic layer inside the WiseTech ecosystem. Distribution through the system of record beats direct sales in this market.</w:t>
            </w:r>
          </w:p>
        </w:tc>
        <w:tc>
          <w:tcPr>
            <w:tcW w:type="dxa" w:w="2500"/>
            <w:tcMar>
              <w:top w:type="dxa" w:w="80"/>
              <w:left w:type="dxa" w:w="120"/>
              <w:bottom w:type="dxa" w:w="80"/>
              <w:right w:type="dxa" w:w="120"/>
            </w:tcMar>
          </w:tcPr>
          <w:p>
            <w:pPr>
              <w:spacing w:after="60" w:before="60" w:line="260"/>
            </w:pPr>
            <w:r>
              <w:rPr>
                <w:sz w:val="19"/>
                <w:szCs w:val="19"/>
              </w:rPr>
              <w:t xml:space="preserve">GTM grid: partnership-as-distribution is the highest-leverage motion observed, and 5U AI is the only forward-deployed player running none of it despite having the WiseTech integration built.</w:t>
            </w:r>
          </w:p>
        </w:tc>
        <w:tc>
          <w:tcPr>
            <w:tcW w:type="dxa" w:w="2580"/>
            <w:tcMar>
              <w:top w:type="dxa" w:w="80"/>
              <w:left w:type="dxa" w:w="120"/>
              <w:bottom w:type="dxa" w:w="80"/>
              <w:right w:type="dxa" w:w="120"/>
            </w:tcMar>
          </w:tcPr>
          <w:p>
            <w:pPr>
              <w:spacing w:after="60" w:before="60" w:line="260"/>
            </w:pPr>
            <w:r>
              <w:rPr>
                <w:sz w:val="19"/>
                <w:szCs w:val="19"/>
              </w:rPr>
              <w:t xml:space="preserve">Fastest fix on the list: package and certify what already exists. The risk cuts both ways — deepening CargoWise dependency is also the platform risk named in section 11 — but the channel is open today.</w:t>
            </w:r>
          </w:p>
        </w:tc>
      </w:tr>
      <w:tr>
        <w:trPr>
          <w:cantSplit/>
        </w:trPr>
        <w:tc>
          <w:tcPr>
            <w:tcW w:type="dxa" w:w="400"/>
            <w:tcMar>
              <w:top w:type="dxa" w:w="80"/>
              <w:left w:type="dxa" w:w="120"/>
              <w:bottom w:type="dxa" w:w="80"/>
              <w:right w:type="dxa" w:w="120"/>
            </w:tcMar>
          </w:tcPr>
          <w:p>
            <w:pPr>
              <w:spacing w:after="60" w:before="60" w:line="260"/>
            </w:pPr>
            <w:r>
              <w:rPr>
                <w:sz w:val="19"/>
                <w:szCs w:val="19"/>
              </w:rPr>
              <w:t xml:space="preserve">6</w:t>
            </w:r>
          </w:p>
        </w:tc>
        <w:tc>
          <w:tcPr>
            <w:tcW w:type="dxa" w:w="1900"/>
            <w:tcMar>
              <w:top w:type="dxa" w:w="80"/>
              <w:left w:type="dxa" w:w="120"/>
              <w:bottom w:type="dxa" w:w="80"/>
              <w:right w:type="dxa" w:w="120"/>
            </w:tcMar>
          </w:tcPr>
          <w:p>
            <w:pPr>
              <w:spacing w:after="60" w:before="60" w:line="260"/>
            </w:pPr>
            <w:r>
              <w:rPr>
                <w:sz w:val="19"/>
                <w:szCs w:val="19"/>
              </w:rPr>
              <w:t xml:space="preserve">Decision-data benchmarking</w:t>
            </w:r>
          </w:p>
        </w:tc>
        <w:tc>
          <w:tcPr>
            <w:tcW w:type="dxa" w:w="2700"/>
            <w:tcMar>
              <w:top w:type="dxa" w:w="80"/>
              <w:left w:type="dxa" w:w="120"/>
              <w:bottom w:type="dxa" w:w="80"/>
              <w:right w:type="dxa" w:w="120"/>
            </w:tcMar>
          </w:tcPr>
          <w:p>
            <w:pPr>
              <w:spacing w:after="60" w:before="60" w:line="260"/>
            </w:pPr>
            <w:r>
              <w:rPr>
                <w:sz w:val="19"/>
                <w:szCs w:val="19"/>
              </w:rPr>
              <w:t xml:space="preserve">Every vendor logs decisions; none sells the aggregate back as market intelligence — quote-response benchmarks, lane-level exception rates, win-rate norms. Freightos monetises rate data but not operational-decision data.</w:t>
            </w:r>
          </w:p>
        </w:tc>
        <w:tc>
          <w:tcPr>
            <w:tcW w:type="dxa" w:w="2500"/>
            <w:tcMar>
              <w:top w:type="dxa" w:w="80"/>
              <w:left w:type="dxa" w:w="120"/>
              <w:bottom w:type="dxa" w:w="80"/>
              <w:right w:type="dxa" w:w="120"/>
            </w:tcMar>
          </w:tcPr>
          <w:p>
            <w:pPr>
              <w:spacing w:after="60" w:before="60" w:line="260"/>
            </w:pPr>
            <w:r>
              <w:rPr>
                <w:sz w:val="19"/>
                <w:szCs w:val="19"/>
              </w:rPr>
              <w:t xml:space="preserve">No competitor in the set offers an operational benchmarking product. 5U AI's Decision Layer is explicitly framed as its moat and already captures the raw material.</w:t>
            </w:r>
          </w:p>
        </w:tc>
        <w:tc>
          <w:tcPr>
            <w:tcW w:type="dxa" w:w="2580"/>
            <w:tcMar>
              <w:top w:type="dxa" w:w="80"/>
              <w:left w:type="dxa" w:w="120"/>
              <w:bottom w:type="dxa" w:w="80"/>
              <w:right w:type="dxa" w:w="120"/>
            </w:tcMar>
          </w:tcPr>
          <w:p>
            <w:pPr>
              <w:spacing w:after="60" w:before="60" w:line="260"/>
            </w:pPr>
            <w:r>
              <w:rPr>
                <w:sz w:val="19"/>
                <w:szCs w:val="19"/>
              </w:rPr>
              <w:t xml:space="preserve">A second product line with network effects: each customer makes the benchmark better, and the benchmark makes each sale easier. Requires the clause 10.3 data-rights question (section 11) to be resolved cleanly first — the moat and the compliance risk are the same asset.</w:t>
            </w:r>
          </w:p>
        </w:tc>
      </w:tr>
      <w:tr>
        <w:trPr>
          <w:cantSplit/>
        </w:trPr>
        <w:tc>
          <w:tcPr>
            <w:tcW w:type="dxa" w:w="400"/>
            <w:tcMar>
              <w:top w:type="dxa" w:w="80"/>
              <w:left w:type="dxa" w:w="120"/>
              <w:bottom w:type="dxa" w:w="80"/>
              <w:right w:type="dxa" w:w="120"/>
            </w:tcMar>
          </w:tcPr>
          <w:p>
            <w:pPr>
              <w:spacing w:after="60" w:before="60" w:line="260"/>
            </w:pPr>
            <w:r>
              <w:rPr>
                <w:sz w:val="19"/>
                <w:szCs w:val="19"/>
              </w:rPr>
              <w:t xml:space="preserve">7</w:t>
            </w:r>
          </w:p>
        </w:tc>
        <w:tc>
          <w:tcPr>
            <w:tcW w:type="dxa" w:w="1900"/>
            <w:tcMar>
              <w:top w:type="dxa" w:w="80"/>
              <w:left w:type="dxa" w:w="120"/>
              <w:bottom w:type="dxa" w:w="80"/>
              <w:right w:type="dxa" w:w="120"/>
            </w:tcMar>
          </w:tcPr>
          <w:p>
            <w:pPr>
              <w:spacing w:after="60" w:before="60" w:line="260"/>
            </w:pPr>
            <w:r>
              <w:rPr>
                <w:sz w:val="19"/>
                <w:szCs w:val="19"/>
              </w:rPr>
              <w:t xml:space="preserve">Regulated-AI positioning under the EU AI Act</w:t>
            </w:r>
          </w:p>
        </w:tc>
        <w:tc>
          <w:tcPr>
            <w:tcW w:type="dxa" w:w="2700"/>
            <w:tcMar>
              <w:top w:type="dxa" w:w="80"/>
              <w:left w:type="dxa" w:w="120"/>
              <w:bottom w:type="dxa" w:w="80"/>
              <w:right w:type="dxa" w:w="120"/>
            </w:tcMar>
          </w:tcPr>
          <w:p>
            <w:pPr>
              <w:spacing w:after="60" w:before="60" w:line="260"/>
            </w:pPr>
            <w:r>
              <w:rPr>
                <w:sz w:val="19"/>
                <w:szCs w:val="19"/>
              </w:rPr>
              <w:t xml:space="preserve">US entrants will face EU AI Act, GDPR and data-residency scrutiny when they cross the Atlantic. No vendor currently markets compliance as a product feature; the EU-native players treat it as legal boilerplate rather than a wedge.</w:t>
            </w:r>
          </w:p>
        </w:tc>
        <w:tc>
          <w:tcPr>
            <w:tcW w:type="dxa" w:w="2500"/>
            <w:tcMar>
              <w:top w:type="dxa" w:w="80"/>
              <w:left w:type="dxa" w:w="120"/>
              <w:bottom w:type="dxa" w:w="80"/>
              <w:right w:type="dxa" w:w="120"/>
            </w:tcMar>
          </w:tcPr>
          <w:p>
            <w:pPr>
              <w:spacing w:after="60" w:before="60" w:line="260"/>
            </w:pPr>
            <w:r>
              <w:rPr>
                <w:sz w:val="19"/>
                <w:szCs w:val="19"/>
              </w:rPr>
              <w:t xml:space="preserve">The competitor set's certifications are uniformly absent (no SOC 2 or ISO 27001 anywhere in the cohort). First to hold certifications plus documented AI-Act conformity wins enterprise procurement by default.</w:t>
            </w:r>
          </w:p>
        </w:tc>
        <w:tc>
          <w:tcPr>
            <w:tcW w:type="dxa" w:w="2580"/>
            <w:tcMar>
              <w:top w:type="dxa" w:w="80"/>
              <w:left w:type="dxa" w:w="120"/>
              <w:bottom w:type="dxa" w:w="80"/>
              <w:right w:type="dxa" w:w="120"/>
            </w:tcMar>
          </w:tcPr>
          <w:p>
            <w:pPr>
              <w:spacing w:after="60" w:before="60" w:line="260"/>
            </w:pPr>
            <w:r>
              <w:rPr>
                <w:sz w:val="19"/>
                <w:szCs w:val="19"/>
              </w:rPr>
              <w:t xml:space="preserve">Cheap insurance and sharp differentiation for the same spend: 5U AI needs the certifications anyway (section 11), and marketing them as "the compliant choice" taxes every US rival's entry.</w:t>
            </w:r>
          </w:p>
        </w:tc>
      </w:tr>
    </w:tbl>
    <w:p>
      <w:pPr>
        <w:spacing w:after="160"/>
      </w:pPr>
    </w:p>
    <w:p>
      <w:pPr>
        <w:spacing w:after="140" w:line="276"/>
      </w:pPr>
      <w:r>
        <w:rPr>
          <w:b/>
          <w:bCs/>
        </w:rPr>
        <w:t xml:space="preserve">Reading the list as a whole: </w:t>
      </w:r>
      <w:r>
        <w:t xml:space="preserve">spaces 1 and 3 attack the ICP-arithmetic problem from section 13 (too few addressable companies); spaces 2, 4 and 6 raise ACV per account (the other lever the sizing identified); spaces 5 and 7 are distribution and trust fixes that cost little and compound. The pattern worth noticing is that 5U AI's existing assets — the Timocom and WiseTech integrations, the Decision Layer, the EU incorporation — already sit at the mouth of five of the seven spaces. The whitespace is less about building new things than about marketing what is already built.</w:t>
      </w:r>
    </w:p>
    <w:p>
      <w:pPr>
        <w:pStyle w:val="Heading1"/>
        <w:spacing w:after="160" w:before="360"/>
      </w:pPr>
      <w:r>
        <w:t xml:space="preserve">16. Unit economics — testing the rate card from the seller's side</w:t>
      </w:r>
    </w:p>
    <w:p>
      <w:pPr>
        <w:spacing w:after="140" w:line="276"/>
      </w:pPr>
      <w:r>
        <w:t xml:space="preserve">Section 12 modelled ROI for the customer; this section models gross margin for 5U AI. Every input is an assumption — salaries, deployment times, model routing and infrastructure bills are not public — so this tests the shape of the business, not its books. The live model with editable inputs sits on the "Unit economics" tab of the companion workbook.</w:t>
      </w:r>
    </w:p>
    <w:p>
      <w:pPr>
        <w:spacing w:after="140" w:line="276"/>
      </w:pPr>
      <w:r>
        <w:t xml:space="preserve">Cost structure assumed: a Munich forward-deployed engineer at €110k fully loaded (4 FDE-weeks to deploy the first Worker, 2 per additional Worker, 6 maintenance days per Worker per year), an Ops/CSM seat at €90k spread across ~18 accounts, LLM inference at €0.20 per transaction, and €2,400 per year per isolated tenant.</w:t>
      </w:r>
    </w:p>
    <w:p>
      <w:pPr>
        <w:pStyle w:val="Heading2"/>
        <w:spacing w:after="120" w:before="260"/>
      </w:pPr>
      <w:r>
        <w:t xml:space="preserve">16.1 Per-customer P&amp;L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80"/>
        <w:gridCol w:w="2200"/>
        <w:gridCol w:w="2200"/>
        <w:gridCol w:w="2200"/>
      </w:tblGrid>
      <w:tr>
        <w:trPr>
          <w:cantSplit/>
          <w:tblHeader/>
        </w:trPr>
        <w:tc>
          <w:tcPr>
            <w:tcW w:type="dxa" w:w="3480"/>
            <w:shd w:fill="EDEAE4" w:color="auto" w:val="clear"/>
            <w:tcMar>
              <w:top w:type="dxa" w:w="80"/>
              <w:left w:type="dxa" w:w="120"/>
              <w:bottom w:type="dxa" w:w="80"/>
              <w:right w:type="dxa" w:w="120"/>
            </w:tcMar>
          </w:tcPr>
          <w:p>
            <w:pPr>
              <w:spacing w:after="60" w:before="60" w:line="260"/>
            </w:pPr>
            <w:r>
              <w:rPr>
                <w:b/>
                <w:bCs/>
                <w:sz w:val="19"/>
                <w:szCs w:val="19"/>
              </w:rPr>
              <w:t xml:space="preserve">Metric</w:t>
            </w:r>
          </w:p>
        </w:tc>
        <w:tc>
          <w:tcPr>
            <w:tcW w:type="dxa" w:w="2200"/>
            <w:shd w:fill="EDEAE4" w:color="auto" w:val="clear"/>
            <w:tcMar>
              <w:top w:type="dxa" w:w="80"/>
              <w:left w:type="dxa" w:w="120"/>
              <w:bottom w:type="dxa" w:w="80"/>
              <w:right w:type="dxa" w:w="120"/>
            </w:tcMar>
          </w:tcPr>
          <w:p>
            <w:pPr>
              <w:spacing w:after="60" w:before="60" w:line="260"/>
            </w:pPr>
            <w:r>
              <w:rPr>
                <w:b/>
                <w:bCs/>
                <w:sz w:val="19"/>
                <w:szCs w:val="19"/>
              </w:rPr>
              <w:t xml:space="preserve">Launch</w:t>
            </w:r>
          </w:p>
        </w:tc>
        <w:tc>
          <w:tcPr>
            <w:tcW w:type="dxa" w:w="2200"/>
            <w:shd w:fill="EDEAE4" w:color="auto" w:val="clear"/>
            <w:tcMar>
              <w:top w:type="dxa" w:w="80"/>
              <w:left w:type="dxa" w:w="120"/>
              <w:bottom w:type="dxa" w:w="80"/>
              <w:right w:type="dxa" w:w="120"/>
            </w:tcMar>
          </w:tcPr>
          <w:p>
            <w:pPr>
              <w:spacing w:after="60" w:before="60" w:line="260"/>
            </w:pPr>
            <w:r>
              <w:rPr>
                <w:b/>
                <w:bCs/>
                <w:sz w:val="19"/>
                <w:szCs w:val="19"/>
              </w:rPr>
              <w:t xml:space="preserve">Scale</w:t>
            </w:r>
          </w:p>
        </w:tc>
        <w:tc>
          <w:tcPr>
            <w:tcW w:type="dxa" w:w="2200"/>
            <w:shd w:fill="EDEAE4" w:color="auto" w:val="clear"/>
            <w:tcMar>
              <w:top w:type="dxa" w:w="80"/>
              <w:left w:type="dxa" w:w="120"/>
              <w:bottom w:type="dxa" w:w="80"/>
              <w:right w:type="dxa" w:w="120"/>
            </w:tcMar>
          </w:tcPr>
          <w:p>
            <w:pPr>
              <w:spacing w:after="60" w:before="60" w:line="260"/>
            </w:pPr>
            <w:r>
              <w:rPr>
                <w:b/>
                <w:bCs/>
                <w:sz w:val="19"/>
                <w:szCs w:val="19"/>
              </w:rPr>
              <w:t xml:space="preserve">Enterprise</w:t>
            </w:r>
          </w:p>
        </w:tc>
      </w:tr>
      <w:tr>
        <w:trPr>
          <w:cantSplit/>
        </w:trPr>
        <w:tc>
          <w:tcPr>
            <w:tcW w:type="dxa" w:w="3480"/>
            <w:tcMar>
              <w:top w:type="dxa" w:w="80"/>
              <w:left w:type="dxa" w:w="120"/>
              <w:bottom w:type="dxa" w:w="80"/>
              <w:right w:type="dxa" w:w="120"/>
            </w:tcMar>
          </w:tcPr>
          <w:p>
            <w:pPr>
              <w:spacing w:after="60" w:before="60" w:line="260"/>
            </w:pPr>
            <w:r>
              <w:rPr>
                <w:sz w:val="19"/>
                <w:szCs w:val="19"/>
              </w:rPr>
              <w:t xml:space="preserve">Workers (Core + Extended)</w:t>
            </w:r>
          </w:p>
        </w:tc>
        <w:tc>
          <w:tcPr>
            <w:tcW w:type="dxa" w:w="2200"/>
            <w:tcMar>
              <w:top w:type="dxa" w:w="80"/>
              <w:left w:type="dxa" w:w="120"/>
              <w:bottom w:type="dxa" w:w="80"/>
              <w:right w:type="dxa" w:w="120"/>
            </w:tcMar>
          </w:tcPr>
          <w:p>
            <w:pPr>
              <w:spacing w:after="60" w:before="60" w:line="260"/>
            </w:pPr>
            <w:r>
              <w:rPr>
                <w:sz w:val="19"/>
                <w:szCs w:val="19"/>
              </w:rPr>
              <w:t xml:space="preserve">1 + 0</w:t>
            </w:r>
          </w:p>
        </w:tc>
        <w:tc>
          <w:tcPr>
            <w:tcW w:type="dxa" w:w="2200"/>
            <w:tcMar>
              <w:top w:type="dxa" w:w="80"/>
              <w:left w:type="dxa" w:w="120"/>
              <w:bottom w:type="dxa" w:w="80"/>
              <w:right w:type="dxa" w:w="120"/>
            </w:tcMar>
          </w:tcPr>
          <w:p>
            <w:pPr>
              <w:spacing w:after="60" w:before="60" w:line="260"/>
            </w:pPr>
            <w:r>
              <w:rPr>
                <w:sz w:val="19"/>
                <w:szCs w:val="19"/>
              </w:rPr>
              <w:t xml:space="preserve">2 + 1</w:t>
            </w:r>
          </w:p>
        </w:tc>
        <w:tc>
          <w:tcPr>
            <w:tcW w:type="dxa" w:w="2200"/>
            <w:tcMar>
              <w:top w:type="dxa" w:w="80"/>
              <w:left w:type="dxa" w:w="120"/>
              <w:bottom w:type="dxa" w:w="80"/>
              <w:right w:type="dxa" w:w="120"/>
            </w:tcMar>
          </w:tcPr>
          <w:p>
            <w:pPr>
              <w:spacing w:after="60" w:before="60" w:line="260"/>
            </w:pPr>
            <w:r>
              <w:rPr>
                <w:sz w:val="19"/>
                <w:szCs w:val="19"/>
              </w:rPr>
              <w:t xml:space="preserve">4 + 2</w:t>
            </w:r>
          </w:p>
        </w:tc>
      </w:tr>
      <w:tr>
        <w:trPr>
          <w:cantSplit/>
        </w:trPr>
        <w:tc>
          <w:tcPr>
            <w:tcW w:type="dxa" w:w="3480"/>
            <w:tcMar>
              <w:top w:type="dxa" w:w="80"/>
              <w:left w:type="dxa" w:w="120"/>
              <w:bottom w:type="dxa" w:w="80"/>
              <w:right w:type="dxa" w:w="120"/>
            </w:tcMar>
          </w:tcPr>
          <w:p>
            <w:pPr>
              <w:spacing w:after="60" w:before="60" w:line="260"/>
            </w:pPr>
            <w:r>
              <w:rPr>
                <w:sz w:val="19"/>
                <w:szCs w:val="19"/>
              </w:rPr>
              <w:t xml:space="preserve">Year-1 revenue (incl. onboarding)</w:t>
            </w:r>
          </w:p>
        </w:tc>
        <w:tc>
          <w:tcPr>
            <w:tcW w:type="dxa" w:w="2200"/>
            <w:tcMar>
              <w:top w:type="dxa" w:w="80"/>
              <w:left w:type="dxa" w:w="120"/>
              <w:bottom w:type="dxa" w:w="80"/>
              <w:right w:type="dxa" w:w="120"/>
            </w:tcMar>
          </w:tcPr>
          <w:p>
            <w:pPr>
              <w:spacing w:after="60" w:before="60" w:line="260"/>
            </w:pPr>
            <w:r>
              <w:rPr>
                <w:sz w:val="19"/>
                <w:szCs w:val="19"/>
              </w:rPr>
              <w:t xml:space="preserve">€39,500</w:t>
            </w:r>
          </w:p>
        </w:tc>
        <w:tc>
          <w:tcPr>
            <w:tcW w:type="dxa" w:w="2200"/>
            <w:tcMar>
              <w:top w:type="dxa" w:w="80"/>
              <w:left w:type="dxa" w:w="120"/>
              <w:bottom w:type="dxa" w:w="80"/>
              <w:right w:type="dxa" w:w="120"/>
            </w:tcMar>
          </w:tcPr>
          <w:p>
            <w:pPr>
              <w:spacing w:after="60" w:before="60" w:line="260"/>
            </w:pPr>
            <w:r>
              <w:rPr>
                <w:sz w:val="19"/>
                <w:szCs w:val="19"/>
              </w:rPr>
              <w:t xml:space="preserve">€69,500</w:t>
            </w:r>
          </w:p>
        </w:tc>
        <w:tc>
          <w:tcPr>
            <w:tcW w:type="dxa" w:w="2200"/>
            <w:tcMar>
              <w:top w:type="dxa" w:w="80"/>
              <w:left w:type="dxa" w:w="120"/>
              <w:bottom w:type="dxa" w:w="80"/>
              <w:right w:type="dxa" w:w="120"/>
            </w:tcMar>
          </w:tcPr>
          <w:p>
            <w:pPr>
              <w:spacing w:after="60" w:before="60" w:line="260"/>
            </w:pPr>
            <w:r>
              <w:rPr>
                <w:sz w:val="19"/>
                <w:szCs w:val="19"/>
              </w:rPr>
              <w:t xml:space="preserve">€117,500</w:t>
            </w:r>
          </w:p>
        </w:tc>
      </w:tr>
      <w:tr>
        <w:trPr>
          <w:cantSplit/>
        </w:trPr>
        <w:tc>
          <w:tcPr>
            <w:tcW w:type="dxa" w:w="3480"/>
            <w:tcMar>
              <w:top w:type="dxa" w:w="80"/>
              <w:left w:type="dxa" w:w="120"/>
              <w:bottom w:type="dxa" w:w="80"/>
              <w:right w:type="dxa" w:w="120"/>
            </w:tcMar>
          </w:tcPr>
          <w:p>
            <w:pPr>
              <w:spacing w:after="60" w:before="60" w:line="260"/>
            </w:pPr>
            <w:r>
              <w:rPr>
                <w:sz w:val="19"/>
                <w:szCs w:val="19"/>
              </w:rPr>
              <w:t xml:space="preserve">Year-1 cost</w:t>
            </w:r>
          </w:p>
        </w:tc>
        <w:tc>
          <w:tcPr>
            <w:tcW w:type="dxa" w:w="2200"/>
            <w:tcMar>
              <w:top w:type="dxa" w:w="80"/>
              <w:left w:type="dxa" w:w="120"/>
              <w:bottom w:type="dxa" w:w="80"/>
              <w:right w:type="dxa" w:w="120"/>
            </w:tcMar>
          </w:tcPr>
          <w:p>
            <w:pPr>
              <w:spacing w:after="60" w:before="60" w:line="260"/>
            </w:pPr>
            <w:r>
              <w:rPr>
                <w:sz w:val="19"/>
                <w:szCs w:val="19"/>
              </w:rPr>
              <w:t xml:space="preserve">€21,635</w:t>
            </w:r>
          </w:p>
        </w:tc>
        <w:tc>
          <w:tcPr>
            <w:tcW w:type="dxa" w:w="2200"/>
            <w:tcMar>
              <w:top w:type="dxa" w:w="80"/>
              <w:left w:type="dxa" w:w="120"/>
              <w:bottom w:type="dxa" w:w="80"/>
              <w:right w:type="dxa" w:w="120"/>
            </w:tcMar>
          </w:tcPr>
          <w:p>
            <w:pPr>
              <w:spacing w:after="60" w:before="60" w:line="260"/>
            </w:pPr>
            <w:r>
              <w:rPr>
                <w:sz w:val="19"/>
                <w:szCs w:val="19"/>
              </w:rPr>
              <w:t xml:space="preserve">€39,539</w:t>
            </w:r>
          </w:p>
        </w:tc>
        <w:tc>
          <w:tcPr>
            <w:tcW w:type="dxa" w:w="2200"/>
            <w:tcMar>
              <w:top w:type="dxa" w:w="80"/>
              <w:left w:type="dxa" w:w="120"/>
              <w:bottom w:type="dxa" w:w="80"/>
              <w:right w:type="dxa" w:w="120"/>
            </w:tcMar>
          </w:tcPr>
          <w:p>
            <w:pPr>
              <w:spacing w:after="60" w:before="60" w:line="260"/>
            </w:pPr>
            <w:r>
              <w:rPr>
                <w:sz w:val="19"/>
                <w:szCs w:val="19"/>
              </w:rPr>
              <w:t xml:space="preserve">€66,896</w:t>
            </w:r>
          </w:p>
        </w:tc>
      </w:tr>
      <w:tr>
        <w:trPr>
          <w:cantSplit/>
        </w:trPr>
        <w:tc>
          <w:tcPr>
            <w:tcW w:type="dxa" w:w="3480"/>
            <w:tcMar>
              <w:top w:type="dxa" w:w="80"/>
              <w:left w:type="dxa" w:w="120"/>
              <w:bottom w:type="dxa" w:w="80"/>
              <w:right w:type="dxa" w:w="120"/>
            </w:tcMar>
          </w:tcPr>
          <w:p>
            <w:pPr>
              <w:spacing w:after="60" w:before="60" w:line="260"/>
            </w:pPr>
            <w:r>
              <w:rPr>
                <w:sz w:val="19"/>
                <w:szCs w:val="19"/>
              </w:rPr>
              <w:t xml:space="preserve">Year-1 gross margin</w:t>
            </w:r>
          </w:p>
        </w:tc>
        <w:tc>
          <w:tcPr>
            <w:tcW w:type="dxa" w:w="2200"/>
            <w:tcMar>
              <w:top w:type="dxa" w:w="80"/>
              <w:left w:type="dxa" w:w="120"/>
              <w:bottom w:type="dxa" w:w="80"/>
              <w:right w:type="dxa" w:w="120"/>
            </w:tcMar>
          </w:tcPr>
          <w:p>
            <w:pPr>
              <w:spacing w:after="60" w:before="60" w:line="260"/>
            </w:pPr>
            <w:r>
              <w:rPr>
                <w:sz w:val="19"/>
                <w:szCs w:val="19"/>
              </w:rPr>
              <w:t xml:space="preserve">€17,865 (45%)</w:t>
            </w:r>
          </w:p>
        </w:tc>
        <w:tc>
          <w:tcPr>
            <w:tcW w:type="dxa" w:w="2200"/>
            <w:tcMar>
              <w:top w:type="dxa" w:w="80"/>
              <w:left w:type="dxa" w:w="120"/>
              <w:bottom w:type="dxa" w:w="80"/>
              <w:right w:type="dxa" w:w="120"/>
            </w:tcMar>
          </w:tcPr>
          <w:p>
            <w:pPr>
              <w:spacing w:after="60" w:before="60" w:line="260"/>
            </w:pPr>
            <w:r>
              <w:rPr>
                <w:sz w:val="19"/>
                <w:szCs w:val="19"/>
              </w:rPr>
              <w:t xml:space="preserve">€29,961 (43%)</w:t>
            </w:r>
          </w:p>
        </w:tc>
        <w:tc>
          <w:tcPr>
            <w:tcW w:type="dxa" w:w="2200"/>
            <w:tcMar>
              <w:top w:type="dxa" w:w="80"/>
              <w:left w:type="dxa" w:w="120"/>
              <w:bottom w:type="dxa" w:w="80"/>
              <w:right w:type="dxa" w:w="120"/>
            </w:tcMar>
          </w:tcPr>
          <w:p>
            <w:pPr>
              <w:spacing w:after="60" w:before="60" w:line="260"/>
            </w:pPr>
            <w:r>
              <w:rPr>
                <w:sz w:val="19"/>
                <w:szCs w:val="19"/>
              </w:rPr>
              <w:t xml:space="preserve">€50,604 (43%)</w:t>
            </w:r>
          </w:p>
        </w:tc>
      </w:tr>
      <w:tr>
        <w:trPr>
          <w:cantSplit/>
        </w:trPr>
        <w:tc>
          <w:tcPr>
            <w:tcW w:type="dxa" w:w="3480"/>
            <w:tcMar>
              <w:top w:type="dxa" w:w="80"/>
              <w:left w:type="dxa" w:w="120"/>
              <w:bottom w:type="dxa" w:w="80"/>
              <w:right w:type="dxa" w:w="120"/>
            </w:tcMar>
          </w:tcPr>
          <w:p>
            <w:pPr>
              <w:spacing w:after="60" w:before="60" w:line="260"/>
            </w:pPr>
            <w:r>
              <w:rPr>
                <w:sz w:val="19"/>
                <w:szCs w:val="19"/>
              </w:rPr>
              <w:t xml:space="preserve">Steady-state cost, year 2+</w:t>
            </w:r>
          </w:p>
        </w:tc>
        <w:tc>
          <w:tcPr>
            <w:tcW w:type="dxa" w:w="2200"/>
            <w:tcMar>
              <w:top w:type="dxa" w:w="80"/>
              <w:left w:type="dxa" w:w="120"/>
              <w:bottom w:type="dxa" w:w="80"/>
              <w:right w:type="dxa" w:w="120"/>
            </w:tcMar>
          </w:tcPr>
          <w:p>
            <w:pPr>
              <w:spacing w:after="60" w:before="60" w:line="260"/>
            </w:pPr>
            <w:r>
              <w:rPr>
                <w:sz w:val="19"/>
                <w:szCs w:val="19"/>
              </w:rPr>
              <w:t xml:space="preserve">€12,070</w:t>
            </w:r>
          </w:p>
        </w:tc>
        <w:tc>
          <w:tcPr>
            <w:tcW w:type="dxa" w:w="2200"/>
            <w:tcMar>
              <w:top w:type="dxa" w:w="80"/>
              <w:left w:type="dxa" w:w="120"/>
              <w:bottom w:type="dxa" w:w="80"/>
              <w:right w:type="dxa" w:w="120"/>
            </w:tcMar>
          </w:tcPr>
          <w:p>
            <w:pPr>
              <w:spacing w:after="60" w:before="60" w:line="260"/>
            </w:pPr>
            <w:r>
              <w:rPr>
                <w:sz w:val="19"/>
                <w:szCs w:val="19"/>
              </w:rPr>
              <w:t xml:space="preserve">€20,409</w:t>
            </w:r>
          </w:p>
        </w:tc>
        <w:tc>
          <w:tcPr>
            <w:tcW w:type="dxa" w:w="2200"/>
            <w:tcMar>
              <w:top w:type="dxa" w:w="80"/>
              <w:left w:type="dxa" w:w="120"/>
              <w:bottom w:type="dxa" w:w="80"/>
              <w:right w:type="dxa" w:w="120"/>
            </w:tcMar>
          </w:tcPr>
          <w:p>
            <w:pPr>
              <w:spacing w:after="60" w:before="60" w:line="260"/>
            </w:pPr>
            <w:r>
              <w:rPr>
                <w:sz w:val="19"/>
                <w:szCs w:val="19"/>
              </w:rPr>
              <w:t xml:space="preserve">€33,417</w:t>
            </w:r>
          </w:p>
        </w:tc>
      </w:tr>
      <w:tr>
        <w:trPr>
          <w:cantSplit/>
        </w:trPr>
        <w:tc>
          <w:tcPr>
            <w:tcW w:type="dxa" w:w="3480"/>
            <w:tcMar>
              <w:top w:type="dxa" w:w="80"/>
              <w:left w:type="dxa" w:w="120"/>
              <w:bottom w:type="dxa" w:w="80"/>
              <w:right w:type="dxa" w:w="120"/>
            </w:tcMar>
          </w:tcPr>
          <w:p>
            <w:pPr>
              <w:spacing w:after="60" w:before="60" w:line="260"/>
            </w:pPr>
            <w:r>
              <w:rPr>
                <w:sz w:val="19"/>
                <w:szCs w:val="19"/>
              </w:rPr>
              <w:t xml:space="preserve">Steady-state gross margin</w:t>
            </w:r>
          </w:p>
        </w:tc>
        <w:tc>
          <w:tcPr>
            <w:tcW w:type="dxa" w:w="2200"/>
            <w:tcMar>
              <w:top w:type="dxa" w:w="80"/>
              <w:left w:type="dxa" w:w="120"/>
              <w:bottom w:type="dxa" w:w="80"/>
              <w:right w:type="dxa" w:w="120"/>
            </w:tcMar>
          </w:tcPr>
          <w:p>
            <w:pPr>
              <w:spacing w:after="60" w:before="60" w:line="260"/>
            </w:pPr>
            <w:r>
              <w:rPr>
                <w:sz w:val="19"/>
                <w:szCs w:val="19"/>
              </w:rPr>
              <w:t xml:space="preserve">€17,930 (60%)</w:t>
            </w:r>
          </w:p>
        </w:tc>
        <w:tc>
          <w:tcPr>
            <w:tcW w:type="dxa" w:w="2200"/>
            <w:tcMar>
              <w:top w:type="dxa" w:w="80"/>
              <w:left w:type="dxa" w:w="120"/>
              <w:bottom w:type="dxa" w:w="80"/>
              <w:right w:type="dxa" w:w="120"/>
            </w:tcMar>
          </w:tcPr>
          <w:p>
            <w:pPr>
              <w:spacing w:after="60" w:before="60" w:line="260"/>
            </w:pPr>
            <w:r>
              <w:rPr>
                <w:sz w:val="19"/>
                <w:szCs w:val="19"/>
              </w:rPr>
              <w:t xml:space="preserve">€39,591 (66%)</w:t>
            </w:r>
          </w:p>
        </w:tc>
        <w:tc>
          <w:tcPr>
            <w:tcW w:type="dxa" w:w="2200"/>
            <w:tcMar>
              <w:top w:type="dxa" w:w="80"/>
              <w:left w:type="dxa" w:w="120"/>
              <w:bottom w:type="dxa" w:w="80"/>
              <w:right w:type="dxa" w:w="120"/>
            </w:tcMar>
          </w:tcPr>
          <w:p>
            <w:pPr>
              <w:spacing w:after="60" w:before="60" w:line="260"/>
            </w:pPr>
            <w:r>
              <w:rPr>
                <w:sz w:val="19"/>
                <w:szCs w:val="19"/>
              </w:rPr>
              <w:t xml:space="preserve">€74,583 (69%)</w:t>
            </w:r>
          </w:p>
        </w:tc>
      </w:tr>
    </w:tbl>
    <w:p>
      <w:pPr>
        <w:spacing w:after="160"/>
      </w:pPr>
    </w:p>
    <w:p>
      <w:pPr>
        <w:pStyle w:val="Heading2"/>
        <w:spacing w:after="120" w:before="260"/>
      </w:pPr>
      <w:r>
        <w:t xml:space="preserve">16.2 Capacity, sales efficiency and break-even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80"/>
      </w:tblGrid>
      <w:tr>
        <w:trPr>
          <w:cantSplit/>
          <w:tblHeader/>
        </w:trPr>
        <w:tc>
          <w:tcPr>
            <w:tcW w:type="dxa" w:w="3200"/>
            <w:shd w:fill="EDEAE4" w:color="auto" w:val="clear"/>
            <w:tcMar>
              <w:top w:type="dxa" w:w="80"/>
              <w:left w:type="dxa" w:w="120"/>
              <w:bottom w:type="dxa" w:w="80"/>
              <w:right w:type="dxa" w:w="120"/>
            </w:tcMar>
          </w:tcPr>
          <w:p>
            <w:pPr>
              <w:spacing w:after="60" w:before="60" w:line="260"/>
            </w:pPr>
            <w:r>
              <w:rPr>
                <w:b/>
                <w:bCs/>
                <w:sz w:val="19"/>
                <w:szCs w:val="19"/>
              </w:rPr>
              <w:t xml:space="preserve">Metric</w:t>
            </w:r>
          </w:p>
        </w:tc>
        <w:tc>
          <w:tcPr>
            <w:tcW w:type="dxa" w:w="2400"/>
            <w:shd w:fill="EDEAE4" w:color="auto" w:val="clear"/>
            <w:tcMar>
              <w:top w:type="dxa" w:w="80"/>
              <w:left w:type="dxa" w:w="120"/>
              <w:bottom w:type="dxa" w:w="80"/>
              <w:right w:type="dxa" w:w="120"/>
            </w:tcMar>
          </w:tcPr>
          <w:p>
            <w:pPr>
              <w:spacing w:after="60" w:before="60" w:line="260"/>
            </w:pPr>
            <w:r>
              <w:rPr>
                <w:b/>
                <w:bCs/>
                <w:sz w:val="19"/>
                <w:szCs w:val="19"/>
              </w:rPr>
              <w:t xml:space="preserve">Value</w:t>
            </w:r>
          </w:p>
        </w:tc>
        <w:tc>
          <w:tcPr>
            <w:tcW w:type="dxa" w:w="4480"/>
            <w:shd w:fill="EDEAE4" w:color="auto" w:val="clear"/>
            <w:tcMar>
              <w:top w:type="dxa" w:w="80"/>
              <w:left w:type="dxa" w:w="120"/>
              <w:bottom w:type="dxa" w:w="80"/>
              <w:right w:type="dxa" w:w="120"/>
            </w:tcMar>
          </w:tcPr>
          <w:p>
            <w:pPr>
              <w:spacing w:after="60" w:before="60" w:line="260"/>
            </w:pPr>
            <w:r>
              <w:rPr>
                <w:b/>
                <w:bCs/>
                <w:sz w:val="19"/>
                <w:szCs w:val="19"/>
              </w:rPr>
              <w:t xml:space="preserve">Note</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Customers served per FDE</w:t>
            </w:r>
          </w:p>
        </w:tc>
        <w:tc>
          <w:tcPr>
            <w:tcW w:type="dxa" w:w="2400"/>
            <w:tcMar>
              <w:top w:type="dxa" w:w="80"/>
              <w:left w:type="dxa" w:w="120"/>
              <w:bottom w:type="dxa" w:w="80"/>
              <w:right w:type="dxa" w:w="120"/>
            </w:tcMar>
          </w:tcPr>
          <w:p>
            <w:pPr>
              <w:spacing w:after="60" w:before="60" w:line="260"/>
            </w:pPr>
            <w:r>
              <w:rPr>
                <w:sz w:val="19"/>
                <w:szCs w:val="19"/>
              </w:rPr>
              <w:t xml:space="preserve">~10</w:t>
            </w:r>
          </w:p>
        </w:tc>
        <w:tc>
          <w:tcPr>
            <w:tcW w:type="dxa" w:w="4480"/>
            <w:tcMar>
              <w:top w:type="dxa" w:w="80"/>
              <w:left w:type="dxa" w:w="120"/>
              <w:bottom w:type="dxa" w:w="80"/>
              <w:right w:type="dxa" w:w="120"/>
            </w:tcMar>
          </w:tcPr>
          <w:p>
            <w:pPr>
              <w:spacing w:after="60" w:before="60" w:line="260"/>
            </w:pPr>
            <w:r>
              <w:rPr>
                <w:sz w:val="19"/>
                <w:szCs w:val="19"/>
              </w:rPr>
              <w:t xml:space="preserve">A 25-Worker practical portfolio at ~2.5 Workers per customer; maintenance alone saturates an FDE at ~38 Workers</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CAC</w:t>
            </w:r>
          </w:p>
        </w:tc>
        <w:tc>
          <w:tcPr>
            <w:tcW w:type="dxa" w:w="2400"/>
            <w:tcMar>
              <w:top w:type="dxa" w:w="80"/>
              <w:left w:type="dxa" w:w="120"/>
              <w:bottom w:type="dxa" w:w="80"/>
              <w:right w:type="dxa" w:w="120"/>
            </w:tcMar>
          </w:tcPr>
          <w:p>
            <w:pPr>
              <w:spacing w:after="60" w:before="60" w:line="260"/>
            </w:pPr>
            <w:r>
              <w:rPr>
                <w:sz w:val="19"/>
                <w:szCs w:val="19"/>
              </w:rPr>
              <w:t xml:space="preserve">~€12,200</w:t>
            </w:r>
          </w:p>
        </w:tc>
        <w:tc>
          <w:tcPr>
            <w:tcW w:type="dxa" w:w="4480"/>
            <w:tcMar>
              <w:top w:type="dxa" w:w="80"/>
              <w:left w:type="dxa" w:w="120"/>
              <w:bottom w:type="dxa" w:w="80"/>
              <w:right w:type="dxa" w:w="120"/>
            </w:tcMar>
          </w:tcPr>
          <w:p>
            <w:pPr>
              <w:spacing w:after="60" w:before="60" w:line="260"/>
            </w:pPr>
            <w:r>
              <w:rPr>
                <w:sz w:val="19"/>
                <w:szCs w:val="19"/>
              </w:rPr>
              <w:t xml:space="preserve">€220k two-person commercial team closing ~18 deals a year</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Blended steady-state GM per customer</w:t>
            </w:r>
          </w:p>
        </w:tc>
        <w:tc>
          <w:tcPr>
            <w:tcW w:type="dxa" w:w="2400"/>
            <w:tcMar>
              <w:top w:type="dxa" w:w="80"/>
              <w:left w:type="dxa" w:w="120"/>
              <w:bottom w:type="dxa" w:w="80"/>
              <w:right w:type="dxa" w:w="120"/>
            </w:tcMar>
          </w:tcPr>
          <w:p>
            <w:pPr>
              <w:spacing w:after="60" w:before="60" w:line="260"/>
            </w:pPr>
            <w:r>
              <w:rPr>
                <w:sz w:val="19"/>
                <w:szCs w:val="19"/>
              </w:rPr>
              <w:t xml:space="preserve">~€30,100</w:t>
            </w:r>
          </w:p>
        </w:tc>
        <w:tc>
          <w:tcPr>
            <w:tcW w:type="dxa" w:w="4480"/>
            <w:tcMar>
              <w:top w:type="dxa" w:w="80"/>
              <w:left w:type="dxa" w:w="120"/>
              <w:bottom w:type="dxa" w:w="80"/>
              <w:right w:type="dxa" w:w="120"/>
            </w:tcMar>
          </w:tcPr>
          <w:p>
            <w:pPr>
              <w:spacing w:after="60" w:before="60" w:line="260"/>
            </w:pPr>
            <w:r>
              <w:rPr>
                <w:sz w:val="19"/>
                <w:szCs w:val="19"/>
              </w:rPr>
              <w:t xml:space="preserve">Mix: 60% Launch, 30% Scale, 10% Enterprise</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LTV / CAC</w:t>
            </w:r>
          </w:p>
        </w:tc>
        <w:tc>
          <w:tcPr>
            <w:tcW w:type="dxa" w:w="2400"/>
            <w:tcMar>
              <w:top w:type="dxa" w:w="80"/>
              <w:left w:type="dxa" w:w="120"/>
              <w:bottom w:type="dxa" w:w="80"/>
              <w:right w:type="dxa" w:w="120"/>
            </w:tcMar>
          </w:tcPr>
          <w:p>
            <w:pPr>
              <w:spacing w:after="60" w:before="60" w:line="260"/>
            </w:pPr>
            <w:r>
              <w:rPr>
                <w:sz w:val="19"/>
                <w:szCs w:val="19"/>
              </w:rPr>
              <w:t xml:space="preserve">~9.9x</w:t>
            </w:r>
          </w:p>
        </w:tc>
        <w:tc>
          <w:tcPr>
            <w:tcW w:type="dxa" w:w="4480"/>
            <w:tcMar>
              <w:top w:type="dxa" w:w="80"/>
              <w:left w:type="dxa" w:w="120"/>
              <w:bottom w:type="dxa" w:w="80"/>
              <w:right w:type="dxa" w:w="120"/>
            </w:tcMar>
          </w:tcPr>
          <w:p>
            <w:pPr>
              <w:spacing w:after="60" w:before="60" w:line="260"/>
            </w:pPr>
            <w:r>
              <w:rPr>
                <w:sz w:val="19"/>
                <w:szCs w:val="19"/>
              </w:rPr>
              <w:t xml:space="preserve">4-year average life on gross margin — anything above 3x is healthy</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CAC payback</w:t>
            </w:r>
          </w:p>
        </w:tc>
        <w:tc>
          <w:tcPr>
            <w:tcW w:type="dxa" w:w="2400"/>
            <w:tcMar>
              <w:top w:type="dxa" w:w="80"/>
              <w:left w:type="dxa" w:w="120"/>
              <w:bottom w:type="dxa" w:w="80"/>
              <w:right w:type="dxa" w:w="120"/>
            </w:tcMar>
          </w:tcPr>
          <w:p>
            <w:pPr>
              <w:spacing w:after="60" w:before="60" w:line="260"/>
            </w:pPr>
            <w:r>
              <w:rPr>
                <w:sz w:val="19"/>
                <w:szCs w:val="19"/>
              </w:rPr>
              <w:t xml:space="preserve">~4.9 months</w:t>
            </w:r>
          </w:p>
        </w:tc>
        <w:tc>
          <w:tcPr>
            <w:tcW w:type="dxa" w:w="4480"/>
            <w:tcMar>
              <w:top w:type="dxa" w:w="80"/>
              <w:left w:type="dxa" w:w="120"/>
              <w:bottom w:type="dxa" w:w="80"/>
              <w:right w:type="dxa" w:w="120"/>
            </w:tcMar>
          </w:tcPr>
          <w:p>
            <w:pPr>
              <w:spacing w:after="60" w:before="60" w:line="260"/>
            </w:pPr>
            <w:r>
              <w:rPr>
                <w:sz w:val="19"/>
                <w:szCs w:val="19"/>
              </w:rPr>
              <w:t xml:space="preserve">Of steady-state gross margin</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Company break-even</w:t>
            </w:r>
          </w:p>
        </w:tc>
        <w:tc>
          <w:tcPr>
            <w:tcW w:type="dxa" w:w="2400"/>
            <w:tcMar>
              <w:top w:type="dxa" w:w="80"/>
              <w:left w:type="dxa" w:w="120"/>
              <w:bottom w:type="dxa" w:w="80"/>
              <w:right w:type="dxa" w:w="120"/>
            </w:tcMar>
          </w:tcPr>
          <w:p>
            <w:pPr>
              <w:spacing w:after="60" w:before="60" w:line="260"/>
            </w:pPr>
            <w:r>
              <w:rPr>
                <w:sz w:val="19"/>
                <w:szCs w:val="19"/>
              </w:rPr>
              <w:t xml:space="preserve">~63 customers</w:t>
            </w:r>
          </w:p>
        </w:tc>
        <w:tc>
          <w:tcPr>
            <w:tcW w:type="dxa" w:w="4480"/>
            <w:tcMar>
              <w:top w:type="dxa" w:w="80"/>
              <w:left w:type="dxa" w:w="120"/>
              <w:bottom w:type="dxa" w:w="80"/>
              <w:right w:type="dxa" w:w="120"/>
            </w:tcMar>
          </w:tcPr>
          <w:p>
            <w:pPr>
              <w:spacing w:after="60" w:before="60" w:line="260"/>
            </w:pPr>
            <w:r>
              <w:rPr>
                <w:sz w:val="19"/>
                <w:szCs w:val="19"/>
              </w:rPr>
              <w:t xml:space="preserve">€1.89m opex (14 heads at €115k plus €280k other) over blended GM</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Break-even vs beachhead</w:t>
            </w:r>
          </w:p>
        </w:tc>
        <w:tc>
          <w:tcPr>
            <w:tcW w:type="dxa" w:w="2400"/>
            <w:tcMar>
              <w:top w:type="dxa" w:w="80"/>
              <w:left w:type="dxa" w:w="120"/>
              <w:bottom w:type="dxa" w:w="80"/>
              <w:right w:type="dxa" w:w="120"/>
            </w:tcMar>
          </w:tcPr>
          <w:p>
            <w:pPr>
              <w:spacing w:after="60" w:before="60" w:line="260"/>
            </w:pPr>
            <w:r>
              <w:rPr>
                <w:sz w:val="19"/>
                <w:szCs w:val="19"/>
              </w:rPr>
              <w:t xml:space="preserve">~30% of the 213-company ICP</w:t>
            </w:r>
          </w:p>
        </w:tc>
        <w:tc>
          <w:tcPr>
            <w:tcW w:type="dxa" w:w="4480"/>
            <w:tcMar>
              <w:top w:type="dxa" w:w="80"/>
              <w:left w:type="dxa" w:w="120"/>
              <w:bottom w:type="dxa" w:w="80"/>
              <w:right w:type="dxa" w:w="120"/>
            </w:tcMar>
          </w:tcPr>
          <w:p>
            <w:pPr>
              <w:spacing w:after="60" w:before="60" w:line="260"/>
            </w:pPr>
            <w:r>
              <w:rPr>
                <w:sz w:val="19"/>
                <w:szCs w:val="19"/>
              </w:rPr>
              <w:t xml:space="preserve">2.5x the base-case penetration from section 13</w:t>
            </w:r>
          </w:p>
        </w:tc>
      </w:tr>
      <w:tr>
        <w:trPr>
          <w:cantSplit/>
        </w:trPr>
        <w:tc>
          <w:tcPr>
            <w:tcW w:type="dxa" w:w="3200"/>
            <w:tcMar>
              <w:top w:type="dxa" w:w="80"/>
              <w:left w:type="dxa" w:w="120"/>
              <w:bottom w:type="dxa" w:w="80"/>
              <w:right w:type="dxa" w:w="120"/>
            </w:tcMar>
          </w:tcPr>
          <w:p>
            <w:pPr>
              <w:spacing w:after="60" w:before="60" w:line="260"/>
            </w:pPr>
            <w:r>
              <w:rPr>
                <w:sz w:val="19"/>
                <w:szCs w:val="19"/>
              </w:rPr>
              <w:t xml:space="preserve">Implied burn at year-3 base case</w:t>
            </w:r>
          </w:p>
        </w:tc>
        <w:tc>
          <w:tcPr>
            <w:tcW w:type="dxa" w:w="2400"/>
            <w:tcMar>
              <w:top w:type="dxa" w:w="80"/>
              <w:left w:type="dxa" w:w="120"/>
              <w:bottom w:type="dxa" w:w="80"/>
              <w:right w:type="dxa" w:w="120"/>
            </w:tcMar>
          </w:tcPr>
          <w:p>
            <w:pPr>
              <w:spacing w:after="60" w:before="60" w:line="260"/>
            </w:pPr>
            <w:r>
              <w:rPr>
                <w:sz w:val="19"/>
                <w:szCs w:val="19"/>
              </w:rPr>
              <w:t xml:space="preserve">~€1.1m/year</w:t>
            </w:r>
          </w:p>
        </w:tc>
        <w:tc>
          <w:tcPr>
            <w:tcW w:type="dxa" w:w="4480"/>
            <w:tcMar>
              <w:top w:type="dxa" w:w="80"/>
              <w:left w:type="dxa" w:w="120"/>
              <w:bottom w:type="dxa" w:w="80"/>
              <w:right w:type="dxa" w:w="120"/>
            </w:tcMar>
          </w:tcPr>
          <w:p>
            <w:pPr>
              <w:spacing w:after="60" w:before="60" w:line="260"/>
            </w:pPr>
            <w:r>
              <w:rPr>
                <w:sz w:val="19"/>
                <w:szCs w:val="19"/>
              </w:rPr>
              <w:t xml:space="preserve">At 26 customers; against ~€2.9m raised, a next raise is due in 18–24 months</w:t>
            </w:r>
          </w:p>
        </w:tc>
      </w:tr>
    </w:tbl>
    <w:p>
      <w:pPr>
        <w:spacing w:after="160"/>
      </w:pPr>
    </w:p>
    <w:p>
      <w:pPr>
        <w:pStyle w:val="Heading2"/>
        <w:spacing w:after="120" w:before="260"/>
      </w:pPr>
      <w:r>
        <w:t xml:space="preserve">16.3 Findings</w:t>
      </w:r>
    </w:p>
    <w:p>
      <w:pPr>
        <w:pStyle w:val="ListParagraph"/>
        <w:numPr>
          <w:ilvl w:val="0"/>
          <w:numId w:val="2"/>
        </w:numPr>
        <w:spacing w:after="90" w:line="276"/>
      </w:pPr>
      <w:r>
        <w:t xml:space="preserve">The rate card holds up, but this is not pure-software margin. Steady-state GM of 60–69% against a 75–85% SaaS benchmark, and ~43–45% in year 1 because deployment consumes the onboarding fee. Acceptable for a forward-deployed model — but it must be presented as such.</w:t>
      </w:r>
    </w:p>
    <w:p>
      <w:pPr>
        <w:pStyle w:val="ListParagraph"/>
        <w:numPr>
          <w:ilvl w:val="0"/>
          <w:numId w:val="2"/>
        </w:numPr>
        <w:spacing w:after="90" w:line="276"/>
      </w:pPr>
      <w:r>
        <w:t xml:space="preserve">The pricing gap the model surfaced: the rate card charges onboarding once, on the first Worker only, so every expansion Worker ships with ~€4,800 of unbilled FDE time. Adding a per-additional-Worker deployment fee (~€4,500) is the highest-leverage amendment to section 12.</w:t>
      </w:r>
    </w:p>
    <w:p>
      <w:pPr>
        <w:pStyle w:val="ListParagraph"/>
        <w:numPr>
          <w:ilvl w:val="0"/>
          <w:numId w:val="2"/>
        </w:numPr>
        <w:spacing w:after="90" w:line="276"/>
      </w:pPr>
      <w:r>
        <w:t xml:space="preserve">Sales efficiency is excellent and beside the point. LTV/CAC near 10x, payback under 5 months — the constraint is FDE capacity (one FDE serves ~10 customers) and beachhead size, not the cost of selling. Hiring FDEs is the growth budget.</w:t>
      </w:r>
    </w:p>
    <w:p>
      <w:pPr>
        <w:pStyle w:val="ListParagraph"/>
        <w:numPr>
          <w:ilvl w:val="0"/>
          <w:numId w:val="2"/>
        </w:numPr>
        <w:spacing w:after="90" w:line="276"/>
      </w:pPr>
      <w:r>
        <w:t xml:space="preserve">Break-even needs ~63 customers — roughly 30% of the beachhead ICP. The unit economics reach the same conclusion as sections 13 and 15 from the opposite direction: widen the ICP or raise ACV, because the beachhead alone cannot carry a 14-person company to profitability.</w:t>
      </w:r>
    </w:p>
    <w:p>
      <w:pPr>
        <w:pStyle w:val="ListParagraph"/>
        <w:numPr>
          <w:ilvl w:val="0"/>
          <w:numId w:val="2"/>
        </w:numPr>
        <w:spacing w:after="90" w:line="276"/>
      </w:pPr>
      <w:r>
        <w:t xml:space="preserve">The runway arithmetic makes the next raise structural, not optional — which explains the urgency in the GTM job spec about building a commercial engine that runs without a founder in every deal.</w:t>
      </w:r>
    </w:p>
    <w:p>
      <w:pPr>
        <w:pStyle w:val="Heading1"/>
        <w:spacing w:after="160" w:before="360"/>
      </w:pPr>
      <w:r>
        <w:t xml:space="preserve">17. Horizontal platforms — the "why not build it ourselves?" set</w:t>
      </w:r>
    </w:p>
    <w:p>
      <w:pPr>
        <w:spacing w:after="140" w:line="276"/>
      </w:pPr>
      <w:r>
        <w:t xml:space="preserve">The first objection a mid-market forwarder's IT lead raises in 2026 is not another freight AI vendor — it is n8n, Copilot Studio, or an internal build. These platforms do not compete on outcome; they compete inside the sales cycle, by lowering the perceived price anchor and delaying decisions. "Our IT wants to try n8n first" costs a quarter. This section covers the four that matter and how to handle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80"/>
        <w:gridCol w:w="2100"/>
        <w:gridCol w:w="2100"/>
        <w:gridCol w:w="2600"/>
        <w:gridCol w:w="1300"/>
      </w:tblGrid>
      <w:tr>
        <w:trPr>
          <w:cantSplit/>
          <w:tblHeader/>
        </w:trPr>
        <w:tc>
          <w:tcPr>
            <w:tcW w:type="dxa" w:w="1980"/>
            <w:shd w:fill="EDEAE4" w:color="auto" w:val="clear"/>
            <w:tcMar>
              <w:top w:type="dxa" w:w="80"/>
              <w:left w:type="dxa" w:w="120"/>
              <w:bottom w:type="dxa" w:w="80"/>
              <w:right w:type="dxa" w:w="120"/>
            </w:tcMar>
          </w:tcPr>
          <w:p>
            <w:pPr>
              <w:spacing w:after="60" w:before="60" w:line="260"/>
            </w:pPr>
            <w:r>
              <w:rPr>
                <w:b/>
                <w:bCs/>
                <w:sz w:val="19"/>
                <w:szCs w:val="19"/>
              </w:rPr>
              <w:t xml:space="preserve">Platform</w:t>
            </w:r>
          </w:p>
        </w:tc>
        <w:tc>
          <w:tcPr>
            <w:tcW w:type="dxa" w:w="2100"/>
            <w:shd w:fill="EDEAE4" w:color="auto" w:val="clear"/>
            <w:tcMar>
              <w:top w:type="dxa" w:w="80"/>
              <w:left w:type="dxa" w:w="120"/>
              <w:bottom w:type="dxa" w:w="80"/>
              <w:right w:type="dxa" w:w="120"/>
            </w:tcMar>
          </w:tcPr>
          <w:p>
            <w:pPr>
              <w:spacing w:after="60" w:before="60" w:line="260"/>
            </w:pPr>
            <w:r>
              <w:rPr>
                <w:b/>
                <w:bCs/>
                <w:sz w:val="19"/>
                <w:szCs w:val="19"/>
              </w:rPr>
              <w:t xml:space="preserve">Published price</w:t>
            </w:r>
          </w:p>
        </w:tc>
        <w:tc>
          <w:tcPr>
            <w:tcW w:type="dxa" w:w="2100"/>
            <w:shd w:fill="EDEAE4" w:color="auto" w:val="clear"/>
            <w:tcMar>
              <w:top w:type="dxa" w:w="80"/>
              <w:left w:type="dxa" w:w="120"/>
              <w:bottom w:type="dxa" w:w="80"/>
              <w:right w:type="dxa" w:w="120"/>
            </w:tcMar>
          </w:tcPr>
          <w:p>
            <w:pPr>
              <w:spacing w:after="60" w:before="60" w:line="260"/>
            </w:pPr>
            <w:r>
              <w:rPr>
                <w:b/>
                <w:bCs/>
                <w:sz w:val="19"/>
                <w:szCs w:val="19"/>
              </w:rPr>
              <w:t xml:space="preserve">What IT could realistically build</w:t>
            </w:r>
          </w:p>
        </w:tc>
        <w:tc>
          <w:tcPr>
            <w:tcW w:type="dxa" w:w="2600"/>
            <w:shd w:fill="EDEAE4" w:color="auto" w:val="clear"/>
            <w:tcMar>
              <w:top w:type="dxa" w:w="80"/>
              <w:left w:type="dxa" w:w="120"/>
              <w:bottom w:type="dxa" w:w="80"/>
              <w:right w:type="dxa" w:w="120"/>
            </w:tcMar>
          </w:tcPr>
          <w:p>
            <w:pPr>
              <w:spacing w:after="60" w:before="60" w:line="260"/>
            </w:pPr>
            <w:r>
              <w:rPr>
                <w:b/>
                <w:bCs/>
                <w:sz w:val="19"/>
                <w:szCs w:val="19"/>
              </w:rPr>
              <w:t xml:space="preserve">Where it breaks in freight ops</w:t>
            </w:r>
          </w:p>
        </w:tc>
        <w:tc>
          <w:tcPr>
            <w:tcW w:type="dxa" w:w="1300"/>
            <w:shd w:fill="EDEAE4" w:color="auto" w:val="clear"/>
            <w:tcMar>
              <w:top w:type="dxa" w:w="80"/>
              <w:left w:type="dxa" w:w="120"/>
              <w:bottom w:type="dxa" w:w="80"/>
              <w:right w:type="dxa" w:w="120"/>
            </w:tcMar>
          </w:tcPr>
          <w:p>
            <w:pPr>
              <w:spacing w:after="60" w:before="60" w:line="260"/>
            </w:pPr>
            <w:r>
              <w:rPr>
                <w:b/>
                <w:bCs/>
                <w:sz w:val="19"/>
                <w:szCs w:val="19"/>
              </w:rPr>
              <w:t xml:space="preserve">Threat</w:t>
            </w:r>
          </w:p>
        </w:tc>
      </w:tr>
      <w:tr>
        <w:trPr>
          <w:cantSplit/>
        </w:trPr>
        <w:tc>
          <w:tcPr>
            <w:tcW w:type="dxa" w:w="1980"/>
            <w:tcMar>
              <w:top w:type="dxa" w:w="80"/>
              <w:left w:type="dxa" w:w="120"/>
              <w:bottom w:type="dxa" w:w="80"/>
              <w:right w:type="dxa" w:w="120"/>
            </w:tcMar>
          </w:tcPr>
          <w:p>
            <w:pPr>
              <w:spacing w:after="60" w:before="60" w:line="260"/>
            </w:pPr>
            <w:r>
              <w:rPr>
                <w:sz w:val="19"/>
                <w:szCs w:val="19"/>
              </w:rPr>
              <w:t xml:space="preserve">Microsoft Copilot Studio + Power Automate</w:t>
            </w:r>
          </w:p>
        </w:tc>
        <w:tc>
          <w:tcPr>
            <w:tcW w:type="dxa" w:w="2100"/>
            <w:tcMar>
              <w:top w:type="dxa" w:w="80"/>
              <w:left w:type="dxa" w:w="120"/>
              <w:bottom w:type="dxa" w:w="80"/>
              <w:right w:type="dxa" w:w="120"/>
            </w:tcMar>
          </w:tcPr>
          <w:p>
            <w:pPr>
              <w:spacing w:after="60" w:before="60" w:line="260"/>
            </w:pPr>
            <w:r>
              <w:rPr>
                <w:sz w:val="19"/>
                <w:szCs w:val="19"/>
              </w:rPr>
              <w:t xml:space="preserve">US$200/mo per 25,000 credits, or US$0.01/credit PAYG; an autonomous agent action is 25+ credits (~US$0.25)</w:t>
            </w:r>
          </w:p>
        </w:tc>
        <w:tc>
          <w:tcPr>
            <w:tcW w:type="dxa" w:w="2100"/>
            <w:tcMar>
              <w:top w:type="dxa" w:w="80"/>
              <w:left w:type="dxa" w:w="120"/>
              <w:bottom w:type="dxa" w:w="80"/>
              <w:right w:type="dxa" w:w="120"/>
            </w:tcMar>
          </w:tcPr>
          <w:p>
            <w:pPr>
              <w:spacing w:after="60" w:before="60" w:line="260"/>
            </w:pPr>
            <w:r>
              <w:rPr>
                <w:sz w:val="19"/>
                <w:szCs w:val="19"/>
              </w:rPr>
              <w:t xml:space="preserve">Internal Q&amp;A on tenant data, email triage and drafting, Teams approval flows — genuinely useful, and the CFO sees it as already paid for</w:t>
            </w:r>
          </w:p>
        </w:tc>
        <w:tc>
          <w:tcPr>
            <w:tcW w:type="dxa" w:w="2600"/>
            <w:tcMar>
              <w:top w:type="dxa" w:w="80"/>
              <w:left w:type="dxa" w:w="120"/>
              <w:bottom w:type="dxa" w:w="80"/>
              <w:right w:type="dxa" w:w="120"/>
            </w:tcMar>
          </w:tcPr>
          <w:p>
            <w:pPr>
              <w:spacing w:after="60" w:before="60" w:line="260"/>
            </w:pPr>
            <w:r>
              <w:rPr>
                <w:sz w:val="19"/>
                <w:szCs w:val="19"/>
              </w:rPr>
              <w:t xml:space="preserve">No TMS/portal/carrier depth; no freight document extraction; autonomous actions cost €2,000+ per Worker-year in credits before orchestration; no shipment-thread state; IT owns every breakage</w:t>
            </w:r>
          </w:p>
        </w:tc>
        <w:tc>
          <w:tcPr>
            <w:tcW w:type="dxa" w:w="1300"/>
            <w:tcMar>
              <w:top w:type="dxa" w:w="80"/>
              <w:left w:type="dxa" w:w="120"/>
              <w:bottom w:type="dxa" w:w="80"/>
              <w:right w:type="dxa" w:w="120"/>
            </w:tcMar>
          </w:tcPr>
          <w:p>
            <w:pPr>
              <w:spacing w:after="60" w:before="60" w:line="260"/>
            </w:pPr>
            <w:r>
              <w:rPr>
                <w:sz w:val="19"/>
                <w:szCs w:val="19"/>
              </w:rPr>
              <w:t xml:space="preserve">HIGH</w:t>
            </w:r>
          </w:p>
        </w:tc>
      </w:tr>
      <w:tr>
        <w:trPr>
          <w:cantSplit/>
        </w:trPr>
        <w:tc>
          <w:tcPr>
            <w:tcW w:type="dxa" w:w="1980"/>
            <w:tcMar>
              <w:top w:type="dxa" w:w="80"/>
              <w:left w:type="dxa" w:w="120"/>
              <w:bottom w:type="dxa" w:w="80"/>
              <w:right w:type="dxa" w:w="120"/>
            </w:tcMar>
          </w:tcPr>
          <w:p>
            <w:pPr>
              <w:spacing w:after="60" w:before="60" w:line="260"/>
            </w:pPr>
            <w:r>
              <w:rPr>
                <w:sz w:val="19"/>
                <w:szCs w:val="19"/>
              </w:rPr>
              <w:t xml:space="preserve">n8n</w:t>
            </w:r>
          </w:p>
        </w:tc>
        <w:tc>
          <w:tcPr>
            <w:tcW w:type="dxa" w:w="2100"/>
            <w:tcMar>
              <w:top w:type="dxa" w:w="80"/>
              <w:left w:type="dxa" w:w="120"/>
              <w:bottom w:type="dxa" w:w="80"/>
              <w:right w:type="dxa" w:w="120"/>
            </w:tcMar>
          </w:tcPr>
          <w:p>
            <w:pPr>
              <w:spacing w:after="60" w:before="60" w:line="260"/>
            </w:pPr>
            <w:r>
              <w:rPr>
                <w:sz w:val="19"/>
                <w:szCs w:val="19"/>
              </w:rPr>
              <w:t xml:space="preserve">Self-hosted €0 + ~€5–7/mo VPS + own LLM tokens; cloud €24–800/mo; enterprise custom</w:t>
            </w:r>
          </w:p>
        </w:tc>
        <w:tc>
          <w:tcPr>
            <w:tcW w:type="dxa" w:w="2100"/>
            <w:tcMar>
              <w:top w:type="dxa" w:w="80"/>
              <w:left w:type="dxa" w:w="120"/>
              <w:bottom w:type="dxa" w:w="80"/>
              <w:right w:type="dxa" w:w="120"/>
            </w:tcMar>
          </w:tcPr>
          <w:p>
            <w:pPr>
              <w:spacing w:after="60" w:before="60" w:line="260"/>
            </w:pPr>
            <w:r>
              <w:rPr>
                <w:sz w:val="19"/>
                <w:szCs w:val="19"/>
              </w:rPr>
              <w:t xml:space="preserve">Email→extract→TMS pipelines and quote drafting; a capable builder demos in days — which is why this objection appears</w:t>
            </w:r>
          </w:p>
        </w:tc>
        <w:tc>
          <w:tcPr>
            <w:tcW w:type="dxa" w:w="2600"/>
            <w:tcMar>
              <w:top w:type="dxa" w:w="80"/>
              <w:left w:type="dxa" w:w="120"/>
              <w:bottom w:type="dxa" w:w="80"/>
              <w:right w:type="dxa" w:w="120"/>
            </w:tcMar>
          </w:tcPr>
          <w:p>
            <w:pPr>
              <w:spacing w:after="60" w:before="60" w:line="260"/>
            </w:pPr>
            <w:r>
              <w:rPr>
                <w:sz w:val="19"/>
                <w:szCs w:val="19"/>
              </w:rPr>
              <w:t xml:space="preserve">The demo is 20% of the job: no months-long state, no built-in HITL queue, portal automations break silently, every exception is a hand-built branch, and the author is a single point of failure</w:t>
            </w:r>
          </w:p>
        </w:tc>
        <w:tc>
          <w:tcPr>
            <w:tcW w:type="dxa" w:w="1300"/>
            <w:tcMar>
              <w:top w:type="dxa" w:w="80"/>
              <w:left w:type="dxa" w:w="120"/>
              <w:bottom w:type="dxa" w:w="80"/>
              <w:right w:type="dxa" w:w="120"/>
            </w:tcMar>
          </w:tcPr>
          <w:p>
            <w:pPr>
              <w:spacing w:after="60" w:before="60" w:line="260"/>
            </w:pPr>
            <w:r>
              <w:rPr>
                <w:sz w:val="19"/>
                <w:szCs w:val="19"/>
              </w:rPr>
              <w:t xml:space="preserve">MED-HIGH</w:t>
            </w:r>
          </w:p>
        </w:tc>
      </w:tr>
      <w:tr>
        <w:trPr>
          <w:cantSplit/>
        </w:trPr>
        <w:tc>
          <w:tcPr>
            <w:tcW w:type="dxa" w:w="1980"/>
            <w:tcMar>
              <w:top w:type="dxa" w:w="80"/>
              <w:left w:type="dxa" w:w="120"/>
              <w:bottom w:type="dxa" w:w="80"/>
              <w:right w:type="dxa" w:w="120"/>
            </w:tcMar>
          </w:tcPr>
          <w:p>
            <w:pPr>
              <w:spacing w:after="60" w:before="60" w:line="260"/>
            </w:pPr>
            <w:r>
              <w:rPr>
                <w:sz w:val="19"/>
                <w:szCs w:val="19"/>
              </w:rPr>
              <w:t xml:space="preserve">UiPath (agentic)</w:t>
            </w:r>
          </w:p>
        </w:tc>
        <w:tc>
          <w:tcPr>
            <w:tcW w:type="dxa" w:w="2100"/>
            <w:tcMar>
              <w:top w:type="dxa" w:w="80"/>
              <w:left w:type="dxa" w:w="120"/>
              <w:bottom w:type="dxa" w:w="80"/>
              <w:right w:type="dxa" w:w="120"/>
            </w:tcMar>
          </w:tcPr>
          <w:p>
            <w:pPr>
              <w:spacing w:after="60" w:before="60" w:line="260"/>
            </w:pPr>
            <w:r>
              <w:rPr>
                <w:sz w:val="19"/>
                <w:szCs w:val="19"/>
              </w:rPr>
              <w:t xml:space="preserve">Custom enterprise; credit- or licence-based; historically six figures with implementation partners</w:t>
            </w:r>
          </w:p>
        </w:tc>
        <w:tc>
          <w:tcPr>
            <w:tcW w:type="dxa" w:w="2100"/>
            <w:tcMar>
              <w:top w:type="dxa" w:w="80"/>
              <w:left w:type="dxa" w:w="120"/>
              <w:bottom w:type="dxa" w:w="80"/>
              <w:right w:type="dxa" w:w="120"/>
            </w:tcMar>
          </w:tcPr>
          <w:p>
            <w:pPr>
              <w:spacing w:after="60" w:before="60" w:line="260"/>
            </w:pPr>
            <w:r>
              <w:rPr>
                <w:sz w:val="19"/>
                <w:szCs w:val="19"/>
              </w:rPr>
              <w:t xml:space="preserve">Screen-scraping bots for legacy TMS entry and invoices — often already deployed in larger forwarders</w:t>
            </w:r>
          </w:p>
        </w:tc>
        <w:tc>
          <w:tcPr>
            <w:tcW w:type="dxa" w:w="2600"/>
            <w:tcMar>
              <w:top w:type="dxa" w:w="80"/>
              <w:left w:type="dxa" w:w="120"/>
              <w:bottom w:type="dxa" w:w="80"/>
              <w:right w:type="dxa" w:w="120"/>
            </w:tcMar>
          </w:tcPr>
          <w:p>
            <w:pPr>
              <w:spacing w:after="60" w:before="60" w:line="260"/>
            </w:pPr>
            <w:r>
              <w:rPr>
                <w:sz w:val="19"/>
                <w:szCs w:val="19"/>
              </w:rPr>
              <w:t xml:space="preserve">RPA brittleness (bots break on UI changes, fixes queue in IT); sold top-down into IT, not operations; project-based — the opposite of a 4-week Worker</w:t>
            </w:r>
          </w:p>
        </w:tc>
        <w:tc>
          <w:tcPr>
            <w:tcW w:type="dxa" w:w="1300"/>
            <w:tcMar>
              <w:top w:type="dxa" w:w="80"/>
              <w:left w:type="dxa" w:w="120"/>
              <w:bottom w:type="dxa" w:w="80"/>
              <w:right w:type="dxa" w:w="120"/>
            </w:tcMar>
          </w:tcPr>
          <w:p>
            <w:pPr>
              <w:spacing w:after="60" w:before="60" w:line="260"/>
            </w:pPr>
            <w:r>
              <w:rPr>
                <w:sz w:val="19"/>
                <w:szCs w:val="19"/>
              </w:rPr>
              <w:t xml:space="preserve">MEDIUM</w:t>
            </w:r>
          </w:p>
        </w:tc>
      </w:tr>
      <w:tr>
        <w:trPr>
          <w:cantSplit/>
        </w:trPr>
        <w:tc>
          <w:tcPr>
            <w:tcW w:type="dxa" w:w="1980"/>
            <w:tcMar>
              <w:top w:type="dxa" w:w="80"/>
              <w:left w:type="dxa" w:w="120"/>
              <w:bottom w:type="dxa" w:w="80"/>
              <w:right w:type="dxa" w:w="120"/>
            </w:tcMar>
          </w:tcPr>
          <w:p>
            <w:pPr>
              <w:spacing w:after="60" w:before="60" w:line="260"/>
            </w:pPr>
            <w:r>
              <w:rPr>
                <w:sz w:val="19"/>
                <w:szCs w:val="19"/>
              </w:rPr>
              <w:t xml:space="preserve">Build in-house (LangChain / CrewAI / SDKs)</w:t>
            </w:r>
          </w:p>
        </w:tc>
        <w:tc>
          <w:tcPr>
            <w:tcW w:type="dxa" w:w="2100"/>
            <w:tcMar>
              <w:top w:type="dxa" w:w="80"/>
              <w:left w:type="dxa" w:w="120"/>
              <w:bottom w:type="dxa" w:w="80"/>
              <w:right w:type="dxa" w:w="120"/>
            </w:tcMar>
          </w:tcPr>
          <w:p>
            <w:pPr>
              <w:spacing w:after="60" w:before="60" w:line="260"/>
            </w:pPr>
            <w:r>
              <w:rPr>
                <w:sz w:val="19"/>
                <w:szCs w:val="19"/>
              </w:rPr>
              <w:t xml:space="preserve">Framework free; reality: 2 AI engineers at US$400–600k/yr plus 15–25% annual maintenance</w:t>
            </w:r>
          </w:p>
        </w:tc>
        <w:tc>
          <w:tcPr>
            <w:tcW w:type="dxa" w:w="2100"/>
            <w:tcMar>
              <w:top w:type="dxa" w:w="80"/>
              <w:left w:type="dxa" w:w="120"/>
              <w:bottom w:type="dxa" w:w="80"/>
              <w:right w:type="dxa" w:w="120"/>
            </w:tcMar>
          </w:tcPr>
          <w:p>
            <w:pPr>
              <w:spacing w:after="60" w:before="60" w:line="260"/>
            </w:pPr>
            <w:r>
              <w:rPr>
                <w:sz w:val="19"/>
                <w:szCs w:val="19"/>
              </w:rPr>
              <w:t xml:space="preserve">A quoting prototype in a quarter; production (evals, guardrails, HITL, observability, tenant security) is the other 80% of the cost</w:t>
            </w:r>
          </w:p>
        </w:tc>
        <w:tc>
          <w:tcPr>
            <w:tcW w:type="dxa" w:w="2600"/>
            <w:tcMar>
              <w:top w:type="dxa" w:w="80"/>
              <w:left w:type="dxa" w:w="120"/>
              <w:bottom w:type="dxa" w:w="80"/>
              <w:right w:type="dxa" w:w="120"/>
            </w:tcMar>
          </w:tcPr>
          <w:p>
            <w:pPr>
              <w:spacing w:after="60" w:before="60" w:line="260"/>
            </w:pPr>
            <w:r>
              <w:rPr>
                <w:sz w:val="19"/>
                <w:szCs w:val="19"/>
              </w:rPr>
              <w:t xml:space="preserve">RAND: 80% of 2,400+ AI projects fail; MIT NANDA: 95% of GenAI pilots show no P&amp;L impact; average failed project ~US$340k. A mid-market forwarder has no ML platform team to beat those odds</w:t>
            </w:r>
          </w:p>
        </w:tc>
        <w:tc>
          <w:tcPr>
            <w:tcW w:type="dxa" w:w="1300"/>
            <w:tcMar>
              <w:top w:type="dxa" w:w="80"/>
              <w:left w:type="dxa" w:w="120"/>
              <w:bottom w:type="dxa" w:w="80"/>
              <w:right w:type="dxa" w:w="120"/>
            </w:tcMar>
          </w:tcPr>
          <w:p>
            <w:pPr>
              <w:spacing w:after="60" w:before="60" w:line="260"/>
            </w:pPr>
            <w:r>
              <w:rPr>
                <w:sz w:val="19"/>
                <w:szCs w:val="19"/>
              </w:rPr>
              <w:t xml:space="preserve">MED-HIGH</w:t>
            </w:r>
          </w:p>
        </w:tc>
      </w:tr>
    </w:tbl>
    <w:p>
      <w:pPr>
        <w:spacing w:after="160"/>
      </w:pPr>
    </w:p>
    <w:p>
      <w:pPr>
        <w:spacing w:after="140" w:line="276"/>
      </w:pPr>
      <w:r>
        <w:t xml:space="preserve">Zapier and Make appear below 50 employees but rarely survive the arithmetic: task-based pricing collapses at 9,000+ transactions per Worker-year, and there is no state, no documents, no portals, no audit trail.</w:t>
      </w:r>
    </w:p>
    <w:p>
      <w:pPr>
        <w:pStyle w:val="Heading2"/>
        <w:spacing w:after="120" w:before="260"/>
      </w:pPr>
      <w:r>
        <w:t xml:space="preserve">17.1 How to argue it</w:t>
      </w:r>
    </w:p>
    <w:p>
      <w:pPr>
        <w:pStyle w:val="ListParagraph"/>
        <w:numPr>
          <w:ilvl w:val="0"/>
          <w:numId w:val="2"/>
        </w:numPr>
        <w:spacing w:after="90" w:line="276"/>
      </w:pPr>
      <w:r>
        <w:t xml:space="preserve">Never argue the tool is bad — a technical buyer defends their tool. Argue that the demo is 20% of the job and the maintenance is the product. 5U AI's own thesis line — "the exception is the job" — is the frame.</w:t>
      </w:r>
    </w:p>
    <w:p>
      <w:pPr>
        <w:pStyle w:val="ListParagraph"/>
        <w:numPr>
          <w:ilvl w:val="0"/>
          <w:numId w:val="2"/>
        </w:numPr>
        <w:spacing w:after="90" w:line="276"/>
      </w:pPr>
      <w:r>
        <w:t xml:space="preserve">Concede what they genuinely win: internal knowledge Q&amp;A (Copilot Studio), stable single workflows with real IT capacity (n8n), notification glue (Zapier). Conceding buys credibility for the claim that load-lifecycle work is different in kind. Sell alongside Teams, not against it — 5U AI's approvals already live there.</w:t>
      </w:r>
    </w:p>
    <w:p>
      <w:pPr>
        <w:pStyle w:val="ListParagraph"/>
        <w:numPr>
          <w:ilvl w:val="0"/>
          <w:numId w:val="2"/>
        </w:numPr>
        <w:spacing w:after="90" w:line="276"/>
      </w:pPr>
      <w:r>
        <w:t xml:space="preserve">The build-in-house numbers are the strongest ammunition in this entire analysis: a Launch package at €30k/year, live in 4 weeks, costs under 10% of one in-house engineering year — with the failure risk carried by the vendor. The RAND and MIT figures belong in the sales deck.</w:t>
      </w:r>
    </w:p>
    <w:p>
      <w:pPr>
        <w:pStyle w:val="ListParagraph"/>
        <w:numPr>
          <w:ilvl w:val="0"/>
          <w:numId w:val="2"/>
        </w:numPr>
        <w:spacing w:after="90" w:line="276"/>
      </w:pPr>
      <w:r>
        <w:t xml:space="preserve">The structural point: every horizontal platform prices the tool and leaves the customer owning the outcome — integration, exceptions, maintenance, failure risk. 5U AI prices the outcome. That is the whole argument for a five-figure ACV against a US$200/month credit pack, and it is why section 12's automation-rate fee ramp matters: it makes outcome pricing visible in the contract itself.</w:t>
      </w:r>
    </w:p>
    <w:p>
      <w:pPr>
        <w:pStyle w:val="Heading1"/>
        <w:spacing w:after="160" w:before="360"/>
      </w:pPr>
      <w:r>
        <w:t xml:space="preserve">Sources</w:t>
      </w:r>
    </w:p>
    <w:p>
      <w:pPr>
        <w:pStyle w:val="ListParagraph"/>
        <w:numPr>
          <w:ilvl w:val="0"/>
          <w:numId w:val="2"/>
        </w:numPr>
        <w:spacing w:after="70"/>
      </w:pPr>
      <w:hyperlink w:history="1" r:id="rIdyexgkkibrwdb-eetj0wmx">
        <w:r>
          <w:rPr>
            <w:rStyle w:val="Hyperlink"/>
            <w:sz w:val="19"/>
            <w:szCs w:val="19"/>
          </w:rPr>
          <w:t xml:space="preserve">5U AI homepage</w:t>
        </w:r>
      </w:hyperlink>
    </w:p>
    <w:p>
      <w:pPr>
        <w:pStyle w:val="ListParagraph"/>
        <w:numPr>
          <w:ilvl w:val="0"/>
          <w:numId w:val="2"/>
        </w:numPr>
        <w:spacing w:after="70"/>
      </w:pPr>
      <w:hyperlink w:history="1" r:id="rIdjdmkacl-_qcihc5kzgrrd">
        <w:r>
          <w:rPr>
            <w:rStyle w:val="Hyperlink"/>
            <w:sz w:val="19"/>
            <w:szCs w:val="19"/>
          </w:rPr>
          <w:t xml:space="preserve">5U AI — Product</w:t>
        </w:r>
      </w:hyperlink>
    </w:p>
    <w:p>
      <w:pPr>
        <w:pStyle w:val="ListParagraph"/>
        <w:numPr>
          <w:ilvl w:val="0"/>
          <w:numId w:val="2"/>
        </w:numPr>
        <w:spacing w:after="70"/>
      </w:pPr>
      <w:hyperlink w:history="1" r:id="rIdalkprrf5lbothqf_rrw0g">
        <w:r>
          <w:rPr>
            <w:rStyle w:val="Hyperlink"/>
            <w:sz w:val="19"/>
            <w:szCs w:val="19"/>
          </w:rPr>
          <w:t xml:space="preserve">5U AI — About</w:t>
        </w:r>
      </w:hyperlink>
    </w:p>
    <w:p>
      <w:pPr>
        <w:pStyle w:val="ListParagraph"/>
        <w:numPr>
          <w:ilvl w:val="0"/>
          <w:numId w:val="2"/>
        </w:numPr>
        <w:spacing w:after="70"/>
      </w:pPr>
      <w:hyperlink w:history="1" r:id="rIdaauxz_odqkloudwm-uzgk">
        <w:r>
          <w:rPr>
            <w:rStyle w:val="Hyperlink"/>
            <w:sz w:val="19"/>
            <w:szCs w:val="19"/>
          </w:rPr>
          <w:t xml:space="preserve">5U AI — Terms and Conditions</w:t>
        </w:r>
      </w:hyperlink>
    </w:p>
    <w:p>
      <w:pPr>
        <w:pStyle w:val="ListParagraph"/>
        <w:numPr>
          <w:ilvl w:val="0"/>
          <w:numId w:val="2"/>
        </w:numPr>
        <w:spacing w:after="70"/>
      </w:pPr>
      <w:hyperlink w:history="1" r:id="rIdbw2wrq111hmut0mvkkrlc">
        <w:r>
          <w:rPr>
            <w:rStyle w:val="Hyperlink"/>
            <w:sz w:val="19"/>
            <w:szCs w:val="19"/>
          </w:rPr>
          <w:t xml:space="preserve">5U AI — Data Processing Agreement</w:t>
        </w:r>
      </w:hyperlink>
    </w:p>
    <w:p>
      <w:pPr>
        <w:pStyle w:val="ListParagraph"/>
        <w:numPr>
          <w:ilvl w:val="0"/>
          <w:numId w:val="2"/>
        </w:numPr>
        <w:spacing w:after="70"/>
      </w:pPr>
      <w:hyperlink w:history="1" r:id="rIdyfalkjeq3ta1abb3kjhbv">
        <w:r>
          <w:rPr>
            <w:rStyle w:val="Hyperlink"/>
            <w:sz w:val="19"/>
            <w:szCs w:val="19"/>
          </w:rPr>
          <w:t xml:space="preserve">5U AI — Privacy Policy</w:t>
        </w:r>
      </w:hyperlink>
    </w:p>
    <w:p>
      <w:pPr>
        <w:pStyle w:val="ListParagraph"/>
        <w:numPr>
          <w:ilvl w:val="0"/>
          <w:numId w:val="2"/>
        </w:numPr>
        <w:spacing w:after="70"/>
      </w:pPr>
      <w:hyperlink w:history="1" r:id="rIdl10qfgr-ktjgmbwaxarno">
        <w:r>
          <w:rPr>
            <w:rStyle w:val="Hyperlink"/>
            <w:sz w:val="19"/>
            <w:szCs w:val="19"/>
          </w:rPr>
          <w:t xml:space="preserve">5U AI — Funding announcement</w:t>
        </w:r>
      </w:hyperlink>
    </w:p>
    <w:p>
      <w:pPr>
        <w:pStyle w:val="ListParagraph"/>
        <w:numPr>
          <w:ilvl w:val="0"/>
          <w:numId w:val="2"/>
        </w:numPr>
        <w:spacing w:after="70"/>
      </w:pPr>
      <w:hyperlink w:history="1" r:id="rIdt4gxix2cxdzln848a_4eg">
        <w:r>
          <w:rPr>
            <w:rStyle w:val="Hyperlink"/>
            <w:sz w:val="19"/>
            <w:szCs w:val="19"/>
          </w:rPr>
          <w:t xml:space="preserve">5U AI — "One second. What's actually happening in logistics?"</w:t>
        </w:r>
      </w:hyperlink>
    </w:p>
    <w:p>
      <w:pPr>
        <w:pStyle w:val="ListParagraph"/>
        <w:numPr>
          <w:ilvl w:val="0"/>
          <w:numId w:val="2"/>
        </w:numPr>
        <w:spacing w:after="70"/>
      </w:pPr>
      <w:hyperlink w:history="1" r:id="rIddsltkcxsazkavqmvkhkgp">
        <w:r>
          <w:rPr>
            <w:rStyle w:val="Hyperlink"/>
            <w:sz w:val="19"/>
            <w:szCs w:val="19"/>
          </w:rPr>
          <w:t xml:space="preserve">5U AI Careers (Dover)</w:t>
        </w:r>
      </w:hyperlink>
    </w:p>
    <w:p>
      <w:pPr>
        <w:pStyle w:val="ListParagraph"/>
        <w:numPr>
          <w:ilvl w:val="0"/>
          <w:numId w:val="2"/>
        </w:numPr>
        <w:spacing w:after="70"/>
      </w:pPr>
      <w:hyperlink w:history="1" r:id="rIddltkd2cibq2xjrptkcrwk">
        <w:r>
          <w:rPr>
            <w:rStyle w:val="Hyperlink"/>
            <w:sz w:val="19"/>
            <w:szCs w:val="19"/>
          </w:rPr>
          <w:t xml:space="preserve">CargoForwarder Global — From football to agentic AI freight start-up</w:t>
        </w:r>
      </w:hyperlink>
    </w:p>
    <w:p>
      <w:pPr>
        <w:pStyle w:val="ListParagraph"/>
        <w:numPr>
          <w:ilvl w:val="0"/>
          <w:numId w:val="2"/>
        </w:numPr>
        <w:spacing w:after="70"/>
      </w:pPr>
      <w:hyperlink w:history="1" r:id="rId_4bxcr92-34bu4htjbicu">
        <w:r>
          <w:rPr>
            <w:rStyle w:val="Hyperlink"/>
            <w:sz w:val="19"/>
            <w:szCs w:val="19"/>
          </w:rPr>
          <w:t xml:space="preserve">Tech.eu — 5U AI lands $3.2M pre-seed</w:t>
        </w:r>
      </w:hyperlink>
    </w:p>
    <w:p>
      <w:pPr>
        <w:pStyle w:val="ListParagraph"/>
        <w:numPr>
          <w:ilvl w:val="0"/>
          <w:numId w:val="2"/>
        </w:numPr>
        <w:spacing w:after="70"/>
      </w:pPr>
      <w:hyperlink w:history="1" r:id="rId3a33lhsvqlvuqkr2obmxh">
        <w:r>
          <w:rPr>
            <w:rStyle w:val="Hyperlink"/>
            <w:sz w:val="19"/>
            <w:szCs w:val="19"/>
          </w:rPr>
          <w:t xml:space="preserve">Air Cargo News — 5U AI raises $3.2m</w:t>
        </w:r>
      </w:hyperlink>
    </w:p>
    <w:p>
      <w:pPr>
        <w:pStyle w:val="ListParagraph"/>
        <w:numPr>
          <w:ilvl w:val="0"/>
          <w:numId w:val="2"/>
        </w:numPr>
        <w:spacing w:after="70"/>
      </w:pPr>
      <w:hyperlink w:history="1" r:id="rId3dzn9svfowiayj8l_njby">
        <w:r>
          <w:rPr>
            <w:rStyle w:val="Hyperlink"/>
            <w:sz w:val="19"/>
            <w:szCs w:val="19"/>
          </w:rPr>
          <w:t xml:space="preserve">TechFundingNews — Backed by ex-DHL and Maersk execs</w:t>
        </w:r>
      </w:hyperlink>
    </w:p>
    <w:p>
      <w:pPr>
        <w:pStyle w:val="ListParagraph"/>
        <w:numPr>
          <w:ilvl w:val="0"/>
          <w:numId w:val="2"/>
        </w:numPr>
        <w:spacing w:after="70"/>
      </w:pPr>
      <w:hyperlink w:history="1" r:id="rIdnytdrl_y8-e7qodvgnywx">
        <w:r>
          <w:rPr>
            <w:rStyle w:val="Hyperlink"/>
            <w:sz w:val="19"/>
            <w:szCs w:val="19"/>
          </w:rPr>
          <w:t xml:space="preserve">StartupValley — AI Workers: 5U AI scales freight forwarding</w:t>
        </w:r>
      </w:hyperlink>
    </w:p>
    <w:p>
      <w:pPr>
        <w:pStyle w:val="ListParagraph"/>
        <w:numPr>
          <w:ilvl w:val="0"/>
          <w:numId w:val="2"/>
        </w:numPr>
        <w:spacing w:after="70"/>
      </w:pPr>
      <w:hyperlink w:history="1" r:id="rIdwz9qb4ly7odqa3s17xtzz">
        <w:r>
          <w:rPr>
            <w:rStyle w:val="Hyperlink"/>
            <w:sz w:val="19"/>
            <w:szCs w:val="19"/>
          </w:rPr>
          <w:t xml:space="preserve">egirişim (TR) — 5U AI 3.2 milyon dolar yatırım aldı</w:t>
        </w:r>
      </w:hyperlink>
    </w:p>
    <w:p>
      <w:pPr>
        <w:pStyle w:val="ListParagraph"/>
        <w:numPr>
          <w:ilvl w:val="0"/>
          <w:numId w:val="2"/>
        </w:numPr>
        <w:spacing w:after="70"/>
      </w:pPr>
      <w:hyperlink w:history="1" r:id="rIduwwpgnsydzeiwmuzljoal">
        <w:r>
          <w:rPr>
            <w:rStyle w:val="Hyperlink"/>
            <w:sz w:val="19"/>
            <w:szCs w:val="19"/>
          </w:rPr>
          <w:t xml:space="preserve">StartupHub — 5U AI profile</w:t>
        </w:r>
      </w:hyperlink>
    </w:p>
    <w:p>
      <w:pPr>
        <w:pStyle w:val="ListParagraph"/>
        <w:numPr>
          <w:ilvl w:val="0"/>
          <w:numId w:val="2"/>
        </w:numPr>
        <w:spacing w:after="70"/>
      </w:pPr>
      <w:hyperlink w:history="1" r:id="rIdkwtzhiwd6mizpzf3okmfw">
        <w:r>
          <w:rPr>
            <w:rStyle w:val="Hyperlink"/>
            <w:sz w:val="19"/>
            <w:szCs w:val="19"/>
          </w:rPr>
          <w:t xml:space="preserve">Section 12 — Quotiss published pricing</w:t>
        </w:r>
      </w:hyperlink>
    </w:p>
    <w:p>
      <w:pPr>
        <w:pStyle w:val="ListParagraph"/>
        <w:numPr>
          <w:ilvl w:val="0"/>
          <w:numId w:val="2"/>
        </w:numPr>
        <w:spacing w:after="70"/>
      </w:pPr>
      <w:hyperlink w:history="1" r:id="rId3fe8h-npzlwo8mvyfmx8y">
        <w:r>
          <w:rPr>
            <w:rStyle w:val="Hyperlink"/>
            <w:sz w:val="19"/>
            <w:szCs w:val="19"/>
          </w:rPr>
          <w:t xml:space="preserve">Section 12 — Freightos Terminal pricing (Capterra)</w:t>
        </w:r>
      </w:hyperlink>
    </w:p>
    <w:p>
      <w:pPr>
        <w:pStyle w:val="ListParagraph"/>
        <w:numPr>
          <w:ilvl w:val="0"/>
          <w:numId w:val="2"/>
        </w:numPr>
        <w:spacing w:after="70"/>
      </w:pPr>
      <w:hyperlink w:history="1" r:id="rId-gey0yq3_miow94lgrwz0">
        <w:r>
          <w:rPr>
            <w:rStyle w:val="Hyperlink"/>
            <w:sz w:val="19"/>
            <w:szCs w:val="19"/>
          </w:rPr>
          <w:t xml:space="preserve">Section 12 — HappyRobot per-action pricing</w:t>
        </w:r>
      </w:hyperlink>
    </w:p>
    <w:p>
      <w:pPr>
        <w:pStyle w:val="ListParagraph"/>
        <w:numPr>
          <w:ilvl w:val="0"/>
          <w:numId w:val="2"/>
        </w:numPr>
        <w:spacing w:after="70"/>
      </w:pPr>
      <w:hyperlink w:history="1" r:id="rIdezotyg3dr_-7attjbh4-x">
        <w:r>
          <w:rPr>
            <w:rStyle w:val="Hyperlink"/>
            <w:sz w:val="19"/>
            <w:szCs w:val="19"/>
          </w:rPr>
          <w:t xml:space="preserve">Section 12 — Cargofy ARR and customer count</w:t>
        </w:r>
      </w:hyperlink>
    </w:p>
    <w:p>
      <w:pPr>
        <w:pStyle w:val="ListParagraph"/>
        <w:numPr>
          <w:ilvl w:val="0"/>
          <w:numId w:val="2"/>
        </w:numPr>
        <w:spacing w:after="70"/>
      </w:pPr>
      <w:hyperlink w:history="1" r:id="rIdi2slgpjdyhzw62gyyi2xn">
        <w:r>
          <w:rPr>
            <w:rStyle w:val="Hyperlink"/>
            <w:sz w:val="19"/>
            <w:szCs w:val="19"/>
          </w:rPr>
          <w:t xml:space="preserve">Section 12 — Nexcade seed round</w:t>
        </w:r>
      </w:hyperlink>
    </w:p>
    <w:p>
      <w:pPr>
        <w:pStyle w:val="ListParagraph"/>
        <w:numPr>
          <w:ilvl w:val="0"/>
          <w:numId w:val="2"/>
        </w:numPr>
        <w:spacing w:after="70"/>
      </w:pPr>
      <w:hyperlink w:history="1" r:id="rIdy1_0ubsbcjn61xwdhwfgg">
        <w:r>
          <w:rPr>
            <w:rStyle w:val="Hyperlink"/>
            <w:sz w:val="19"/>
            <w:szCs w:val="19"/>
          </w:rPr>
          <w:t xml:space="preserve">Section 12 — AI agent pricing models 2026</w:t>
        </w:r>
      </w:hyperlink>
    </w:p>
    <w:p>
      <w:pPr>
        <w:pStyle w:val="ListParagraph"/>
        <w:numPr>
          <w:ilvl w:val="0"/>
          <w:numId w:val="2"/>
        </w:numPr>
        <w:spacing w:after="70"/>
      </w:pPr>
      <w:hyperlink w:history="1" r:id="rIdpjk-cmxfislesqxz3ez11">
        <w:r>
          <w:rPr>
            <w:rStyle w:val="Hyperlink"/>
            <w:sz w:val="19"/>
            <w:szCs w:val="19"/>
          </w:rPr>
          <w:t xml:space="preserve">Section 12 — TMS price bands</w:t>
        </w:r>
      </w:hyperlink>
    </w:p>
    <w:p>
      <w:pPr>
        <w:pStyle w:val="ListParagraph"/>
        <w:numPr>
          <w:ilvl w:val="0"/>
          <w:numId w:val="2"/>
        </w:numPr>
        <w:spacing w:after="70"/>
      </w:pPr>
      <w:hyperlink w:history="1" r:id="rIdwtlakonxsgm0epvf0kxyf">
        <w:r>
          <w:rPr>
            <w:rStyle w:val="Hyperlink"/>
            <w:sz w:val="19"/>
            <w:szCs w:val="19"/>
          </w:rPr>
          <w:t xml:space="preserve">Section 13 — CLECAT: EU companies and staff</w:t>
        </w:r>
      </w:hyperlink>
    </w:p>
    <w:p>
      <w:pPr>
        <w:pStyle w:val="ListParagraph"/>
        <w:numPr>
          <w:ilvl w:val="0"/>
          <w:numId w:val="2"/>
        </w:numPr>
        <w:spacing w:after="70"/>
      </w:pPr>
      <w:hyperlink w:history="1" r:id="rIdlcpeyfhar_mhd1jomtjpo">
        <w:r>
          <w:rPr>
            <w:rStyle w:val="Hyperlink"/>
            <w:sz w:val="19"/>
            <w:szCs w:val="19"/>
          </w:rPr>
          <w:t xml:space="preserve">Section 13 — DSLV: German sector data</w:t>
        </w:r>
      </w:hyperlink>
    </w:p>
    <w:p>
      <w:pPr>
        <w:pStyle w:val="ListParagraph"/>
        <w:numPr>
          <w:ilvl w:val="0"/>
          <w:numId w:val="2"/>
        </w:numPr>
        <w:spacing w:after="70"/>
      </w:pPr>
      <w:hyperlink w:history="1" r:id="rIdlqtm_sjqsvmjrruee5mvv">
        <w:r>
          <w:rPr>
            <w:rStyle w:val="Hyperlink"/>
            <w:sz w:val="19"/>
            <w:szCs w:val="19"/>
          </w:rPr>
          <w:t xml:space="preserve">Section 13 — BIFA membership</w:t>
        </w:r>
      </w:hyperlink>
    </w:p>
    <w:p>
      <w:pPr>
        <w:pStyle w:val="ListParagraph"/>
        <w:numPr>
          <w:ilvl w:val="0"/>
          <w:numId w:val="2"/>
        </w:numPr>
        <w:spacing w:after="70"/>
      </w:pPr>
      <w:hyperlink w:history="1" r:id="rIdpbezyfwpdyuem54r9rb9l">
        <w:r>
          <w:rPr>
            <w:rStyle w:val="Hyperlink"/>
            <w:sz w:val="19"/>
            <w:szCs w:val="19"/>
          </w:rPr>
          <w:t xml:space="preserve">Section 13 — IBISWorld: US market and employment</w:t>
        </w:r>
      </w:hyperlink>
    </w:p>
    <w:p>
      <w:pPr>
        <w:pStyle w:val="ListParagraph"/>
        <w:numPr>
          <w:ilvl w:val="0"/>
          <w:numId w:val="2"/>
        </w:numPr>
        <w:spacing w:after="70"/>
      </w:pPr>
      <w:hyperlink w:history="1" r:id="rIdbblblnxwunfhebfgmvcge">
        <w:r>
          <w:rPr>
            <w:rStyle w:val="Hyperlink"/>
            <w:sz w:val="19"/>
            <w:szCs w:val="19"/>
          </w:rPr>
          <w:t xml:space="preserve">Section 13 — Eurostat: EU enterprise size distribution</w:t>
        </w:r>
      </w:hyperlink>
    </w:p>
    <w:p>
      <w:pPr>
        <w:pStyle w:val="ListParagraph"/>
        <w:numPr>
          <w:ilvl w:val="0"/>
          <w:numId w:val="2"/>
        </w:numPr>
        <w:spacing w:after="70"/>
      </w:pPr>
      <w:hyperlink w:history="1" r:id="rId-4yw9wcfc4c-zyyi8gzp2">
        <w:r>
          <w:rPr>
            <w:rStyle w:val="Hyperlink"/>
            <w:sz w:val="19"/>
            <w:szCs w:val="19"/>
          </w:rPr>
          <w:t xml:space="preserve">Section 14 — cargo.one: Cargofive acquisition and AI OS</w:t>
        </w:r>
      </w:hyperlink>
    </w:p>
    <w:p>
      <w:pPr>
        <w:pStyle w:val="ListParagraph"/>
        <w:numPr>
          <w:ilvl w:val="0"/>
          <w:numId w:val="2"/>
        </w:numPr>
        <w:spacing w:after="70"/>
      </w:pPr>
      <w:hyperlink w:history="1" r:id="rId5lii0_zjk5owcrrq86vmw">
        <w:r>
          <w:rPr>
            <w:rStyle w:val="Hyperlink"/>
            <w:sz w:val="19"/>
            <w:szCs w:val="19"/>
          </w:rPr>
          <w:t xml:space="preserve">Section 14 — Levity published pricing (GetApp)</w:t>
        </w:r>
      </w:hyperlink>
    </w:p>
    <w:p>
      <w:pPr>
        <w:pStyle w:val="ListParagraph"/>
        <w:numPr>
          <w:ilvl w:val="0"/>
          <w:numId w:val="2"/>
        </w:numPr>
        <w:spacing w:after="70"/>
      </w:pPr>
      <w:hyperlink w:history="1" r:id="rIdjbpon3r9cdhw1mbnora4r">
        <w:r>
          <w:rPr>
            <w:rStyle w:val="Hyperlink"/>
            <w:sz w:val="19"/>
            <w:szCs w:val="19"/>
          </w:rPr>
          <w:t xml:space="preserve">Section 14 — Vooma named customers (Index Ventures)</w:t>
        </w:r>
      </w:hyperlink>
    </w:p>
    <w:p>
      <w:pPr>
        <w:pStyle w:val="ListParagraph"/>
        <w:numPr>
          <w:ilvl w:val="0"/>
          <w:numId w:val="2"/>
        </w:numPr>
        <w:spacing w:after="70"/>
      </w:pPr>
      <w:hyperlink w:history="1" r:id="rIdhirog3a-s14wajngr26lz">
        <w:r>
          <w:rPr>
            <w:rStyle w:val="Hyperlink"/>
            <w:sz w:val="19"/>
            <w:szCs w:val="19"/>
          </w:rPr>
          <w:t xml:space="preserve">Section 14 — HappyRobot forward-deployed model (Microsoft)</w:t>
        </w:r>
      </w:hyperlink>
    </w:p>
    <w:p>
      <w:pPr>
        <w:pStyle w:val="ListParagraph"/>
        <w:numPr>
          <w:ilvl w:val="0"/>
          <w:numId w:val="2"/>
        </w:numPr>
        <w:spacing w:after="70"/>
      </w:pPr>
      <w:hyperlink w:history="1" r:id="rIdqbueu-p0dtacj8icgijmn">
        <w:r>
          <w:rPr>
            <w:rStyle w:val="Hyperlink"/>
            <w:sz w:val="19"/>
            <w:szCs w:val="19"/>
          </w:rPr>
          <w:t xml:space="preserve">Section 14 — Raft–PayCargo partnership (AJOT)</w:t>
        </w:r>
      </w:hyperlink>
    </w:p>
    <w:p>
      <w:pPr>
        <w:pStyle w:val="ListParagraph"/>
        <w:numPr>
          <w:ilvl w:val="0"/>
          <w:numId w:val="2"/>
        </w:numPr>
        <w:spacing w:after="70"/>
      </w:pPr>
      <w:hyperlink w:history="1" r:id="rIdw1pefkwwwgu07havepd6q">
        <w:r>
          <w:rPr>
            <w:rStyle w:val="Hyperlink"/>
            <w:sz w:val="19"/>
            <w:szCs w:val="19"/>
          </w:rPr>
          <w:t xml:space="preserve">Section 15 — Digicust: customs AI seed round</w:t>
        </w:r>
      </w:hyperlink>
    </w:p>
    <w:p>
      <w:pPr>
        <w:pStyle w:val="ListParagraph"/>
        <w:numPr>
          <w:ilvl w:val="0"/>
          <w:numId w:val="2"/>
        </w:numPr>
        <w:spacing w:after="70"/>
      </w:pPr>
      <w:hyperlink w:history="1" r:id="rIdirgpflkkv3jzht1p4vm3v">
        <w:r>
          <w:rPr>
            <w:rStyle w:val="Hyperlink"/>
            <w:sz w:val="19"/>
            <w:szCs w:val="19"/>
          </w:rPr>
          <w:t xml:space="preserve">Section 15 — EU Customs Reform 2026</w:t>
        </w:r>
      </w:hyperlink>
    </w:p>
    <w:p>
      <w:pPr>
        <w:pStyle w:val="ListParagraph"/>
        <w:numPr>
          <w:ilvl w:val="0"/>
          <w:numId w:val="2"/>
        </w:numPr>
        <w:spacing w:after="70"/>
      </w:pPr>
      <w:hyperlink w:history="1" r:id="rIdg8_nhmeqaumk2rqwcmokm">
        <w:r>
          <w:rPr>
            <w:rStyle w:val="Hyperlink"/>
            <w:sz w:val="19"/>
            <w:szCs w:val="19"/>
          </w:rPr>
          <w:t xml:space="preserve">Section 17 — Copilot Studio pricing (CloudZero)</w:t>
        </w:r>
      </w:hyperlink>
    </w:p>
    <w:p>
      <w:pPr>
        <w:pStyle w:val="ListParagraph"/>
        <w:numPr>
          <w:ilvl w:val="0"/>
          <w:numId w:val="2"/>
        </w:numPr>
        <w:spacing w:after="70"/>
      </w:pPr>
      <w:hyperlink w:history="1" r:id="rIdwe3l7eigux8gcwuvqef0z">
        <w:r>
          <w:rPr>
            <w:rStyle w:val="Hyperlink"/>
            <w:sz w:val="19"/>
            <w:szCs w:val="19"/>
          </w:rPr>
          <w:t xml:space="preserve">Section 17 — Copilot Studio official pricing</w:t>
        </w:r>
      </w:hyperlink>
    </w:p>
    <w:p>
      <w:pPr>
        <w:pStyle w:val="ListParagraph"/>
        <w:numPr>
          <w:ilvl w:val="0"/>
          <w:numId w:val="2"/>
        </w:numPr>
        <w:spacing w:after="70"/>
      </w:pPr>
      <w:hyperlink w:history="1" r:id="rId9q3bbtbns1usf_zusrkg-">
        <w:r>
          <w:rPr>
            <w:rStyle w:val="Hyperlink"/>
            <w:sz w:val="19"/>
            <w:szCs w:val="19"/>
          </w:rPr>
          <w:t xml:space="preserve">Section 17 — n8n plans and self-hosting</w:t>
        </w:r>
      </w:hyperlink>
    </w:p>
    <w:p>
      <w:pPr>
        <w:pStyle w:val="ListParagraph"/>
        <w:numPr>
          <w:ilvl w:val="0"/>
          <w:numId w:val="2"/>
        </w:numPr>
        <w:spacing w:after="70"/>
      </w:pPr>
      <w:hyperlink w:history="1" r:id="rIdhacgl7rohm2gbcrb06hnu">
        <w:r>
          <w:rPr>
            <w:rStyle w:val="Hyperlink"/>
            <w:sz w:val="19"/>
            <w:szCs w:val="19"/>
          </w:rPr>
          <w:t xml:space="preserve">Section 17 — Zapier pricing and agents</w:t>
        </w:r>
      </w:hyperlink>
    </w:p>
    <w:p>
      <w:pPr>
        <w:pStyle w:val="ListParagraph"/>
        <w:numPr>
          <w:ilvl w:val="0"/>
          <w:numId w:val="2"/>
        </w:numPr>
        <w:spacing w:after="70"/>
      </w:pPr>
      <w:hyperlink w:history="1" r:id="rIdinro7n-zgfsodwn_q9nni">
        <w:r>
          <w:rPr>
            <w:rStyle w:val="Hyperlink"/>
            <w:sz w:val="19"/>
            <w:szCs w:val="19"/>
          </w:rPr>
          <w:t xml:space="preserve">Section 17 — UiPath agentic pricing</w:t>
        </w:r>
      </w:hyperlink>
    </w:p>
    <w:p>
      <w:pPr>
        <w:pStyle w:val="ListParagraph"/>
        <w:numPr>
          <w:ilvl w:val="0"/>
          <w:numId w:val="2"/>
        </w:numPr>
        <w:spacing w:after="70"/>
      </w:pPr>
      <w:hyperlink w:history="1" r:id="rIdyuqzcxz8kty-oc7oqrdpb">
        <w:r>
          <w:rPr>
            <w:rStyle w:val="Hyperlink"/>
            <w:sz w:val="19"/>
            <w:szCs w:val="19"/>
          </w:rPr>
          <w:t xml:space="preserve">Section 17 — build-vs-buy failure rates (RAND, MIT NANDA)</w:t>
        </w:r>
      </w:hyperlink>
    </w:p>
    <w:p>
      <w:pPr>
        <w:pStyle w:val="ListParagraph"/>
        <w:numPr>
          <w:ilvl w:val="0"/>
          <w:numId w:val="2"/>
        </w:numPr>
        <w:spacing w:after="70"/>
      </w:pPr>
      <w:hyperlink w:history="1" r:id="rIdd-bgd0rretpklrmrtfb0b">
        <w:r>
          <w:rPr>
            <w:rStyle w:val="Hyperlink"/>
            <w:sz w:val="19"/>
            <w:szCs w:val="19"/>
          </w:rPr>
          <w:t xml:space="preserve">Section 17 — in-house build cost benchmarks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2E2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xgkkibrwdb-eetj0wmx" Type="http://schemas.openxmlformats.org/officeDocument/2006/relationships/hyperlink" Target="https://5u.ai/" TargetMode="External"/><Relationship Id="rIdjdmkacl-_qcihc5kzgrrd" Type="http://schemas.openxmlformats.org/officeDocument/2006/relationships/hyperlink" Target="https://5u.ai/product" TargetMode="External"/><Relationship Id="rIdalkprrf5lbothqf_rrw0g" Type="http://schemas.openxmlformats.org/officeDocument/2006/relationships/hyperlink" Target="https://5u.ai/about" TargetMode="External"/><Relationship Id="rIdaauxz_odqkloudwm-uzgk" Type="http://schemas.openxmlformats.org/officeDocument/2006/relationships/hyperlink" Target="https://5u.ai/legal/terms-conditions" TargetMode="External"/><Relationship Id="rIdbw2wrq111hmut0mvkkrlc" Type="http://schemas.openxmlformats.org/officeDocument/2006/relationships/hyperlink" Target="https://5u.ai/legal/data-processing-agreement" TargetMode="External"/><Relationship Id="rIdyfalkjeq3ta1abb3kjhbv" Type="http://schemas.openxmlformats.org/officeDocument/2006/relationships/hyperlink" Target="https://5u.ai/legal/privacy-policy" TargetMode="External"/><Relationship Id="rIdl10qfgr-ktjgmbwaxarno" Type="http://schemas.openxmlformats.org/officeDocument/2006/relationships/hyperlink" Target="https://5u.ai/blog/5u-ai-raises-3-2m-pre-seed-funding" TargetMode="External"/><Relationship Id="rIdt4gxix2cxdzln848a_4eg" Type="http://schemas.openxmlformats.org/officeDocument/2006/relationships/hyperlink" Target="https://5u.ai/blog/one-second-whats-actually-happening-in-logistics" TargetMode="External"/><Relationship Id="rIddsltkcxsazkavqmvkhkgp" Type="http://schemas.openxmlformats.org/officeDocument/2006/relationships/hyperlink" Target="https://app.dover.com/jobs/5u-ai" TargetMode="External"/><Relationship Id="rIddltkd2cibq2xjrptkcrwk" Type="http://schemas.openxmlformats.org/officeDocument/2006/relationships/hyperlink" Target="https://cargoforwarder.eu/2026/07/28/5u-ai-from-football-to-agentic-ai-freight-start-up/" TargetMode="External"/><Relationship Id="rId_4bxcr92-34bu4htjbicu" Type="http://schemas.openxmlformats.org/officeDocument/2006/relationships/hyperlink" Target="https://tech.eu/2026/07/28/5u-ai-lands-32m-pre-seed-for-ai-freight-workforce-platform/" TargetMode="External"/><Relationship Id="rId3a33lhsvqlvuqkr2obmxh" Type="http://schemas.openxmlformats.org/officeDocument/2006/relationships/hyperlink" Target="https://www.aircargonews.net/technology/2026/07/5u-ai-raises-3-2m-to-scale-up-its-offering/" TargetMode="External"/><Relationship Id="rId3dzn9svfowiayj8l_njby" Type="http://schemas.openxmlformats.org/officeDocument/2006/relationships/hyperlink" Target="https://techfundingnews.com/5u-ai-3-2m-pre-seed-freight-forwarding-ai-workers/" TargetMode="External"/><Relationship Id="rIdnytdrl_y8-e7qodvgnywx" Type="http://schemas.openxmlformats.org/officeDocument/2006/relationships/hyperlink" Target="https://startupvalley.news/uk/ai-workers-5u-ai-freight-forwarding/" TargetMode="External"/><Relationship Id="rIdwz9qb4ly7odqa3s17xtzz" Type="http://schemas.openxmlformats.org/officeDocument/2006/relationships/hyperlink" Target="https://egirisim.com/2026/07/28/turk-girisimcilerin-munihte-kurdugu-5u-ai-3-2-milyon-dolar-yatirim-aldi/" TargetMode="External"/><Relationship Id="rIduwwpgnsydzeiwmuzljoal" Type="http://schemas.openxmlformats.org/officeDocument/2006/relationships/hyperlink" Target="https://www.startuphub.ai/startups/5u-ai" TargetMode="External"/><Relationship Id="rIdkwtzhiwd6mizpzf3okmfw" Type="http://schemas.openxmlformats.org/officeDocument/2006/relationships/hyperlink" Target="https://quotiss.com/pricing/" TargetMode="External"/><Relationship Id="rId3fe8h-npzlwo8mvyfmx8y" Type="http://schemas.openxmlformats.org/officeDocument/2006/relationships/hyperlink" Target="https://www.capterra.com/p/155657/Freightos/" TargetMode="External"/><Relationship Id="rId-gey0yq3_miow94lgrwz0" Type="http://schemas.openxmlformats.org/officeDocument/2006/relationships/hyperlink" Target="https://www.happyrobot.ai/hub/vapi-ai-pricing" TargetMode="External"/><Relationship Id="rIdezotyg3dr_-7attjbh4-x" Type="http://schemas.openxmlformats.org/officeDocument/2006/relationships/hyperlink" Target="https://www.eu-startups.com/2026/06/cargofy-raises-e9-5-million-series-a-to-deploy-ai-digital-workers-across-freight-operations/" TargetMode="External"/><Relationship Id="rIdi2slgpjdyhzw62gyyi2xn" Type="http://schemas.openxmlformats.org/officeDocument/2006/relationships/hyperlink" Target="https://splash247.com/nexcade-raises-6m-to-automate-freight-forwarding-with-ai/" TargetMode="External"/><Relationship Id="rIdy1_0ubsbcjn61xwdhwfgg" Type="http://schemas.openxmlformats.org/officeDocument/2006/relationships/hyperlink" Target="https://rapidclaw.dev/blog/ai-agent-pricing-models-compared" TargetMode="External"/><Relationship Id="rIdpjk-cmxfislesqxz3ez11" Type="http://schemas.openxmlformats.org/officeDocument/2006/relationships/hyperlink" Target="https://gofreight.com/blog/best-tms-small-business" TargetMode="External"/><Relationship Id="rIdwtlakonxsgm0epvf0kxyf" Type="http://schemas.openxmlformats.org/officeDocument/2006/relationships/hyperlink" Target="https://www.clecat.org/organisation/objectives" TargetMode="External"/><Relationship Id="rIdlcpeyfhar_mhd1jomtjpo" Type="http://schemas.openxmlformats.org/officeDocument/2006/relationships/hyperlink" Target="https://www.dslv.org/de/die-branche" TargetMode="External"/><Relationship Id="rIdlqtm_sjqsvmjrruee5mvv" Type="http://schemas.openxmlformats.org/officeDocument/2006/relationships/hyperlink" Target="https://bifa.org/" TargetMode="External"/><Relationship Id="rIdpbezyfwpdyuem54r9rb9l" Type="http://schemas.openxmlformats.org/officeDocument/2006/relationships/hyperlink" Target="https://www.ibisworld.com/united-states/market-size/freight-forwarding-brokerages-agencies/1209/" TargetMode="External"/><Relationship Id="rIdbblblnxwunfhebfgmvcge" Type="http://schemas.openxmlformats.org/officeDocument/2006/relationships/hyperlink" Target="https://ec.europa.eu/eurostat/statistics-explained/index.php?title=Businesses_in_the_transportation_and_storage_sector" TargetMode="External"/><Relationship Id="rId-4yw9wcfc4c-zyyi8gzp2" Type="http://schemas.openxmlformats.org/officeDocument/2006/relationships/hyperlink" Target="https://www.cargo.one/press/cargofive-acquisition-ai-os-multimodal-launch" TargetMode="External"/><Relationship Id="rId5lii0_zjk5owcrrq86vmw" Type="http://schemas.openxmlformats.org/officeDocument/2006/relationships/hyperlink" Target="https://www.getapp.com/operations-management-software/a/levity-1/pricing/" TargetMode="External"/><Relationship Id="rIdjbpon3r9cdhw1mbnora4r" Type="http://schemas.openxmlformats.org/officeDocument/2006/relationships/hyperlink" Target="https://www.indexventures.com/perspectives/vooma-secures-166-million-to-build-an-ai-powered-agent-for-the-1t-trucking-industry/" TargetMode="External"/><Relationship Id="rIdhirog3a-s14wajngr26lz" Type="http://schemas.openxmlformats.org/officeDocument/2006/relationships/hyperlink" Target="https://www.microsoft.com/en-us/startups/blog/happyrobot-building-the-ai-operating-system-for-the-real-economy/" TargetMode="External"/><Relationship Id="rIdqbueu-p0dtacj8icgijmn" Type="http://schemas.openxmlformats.org/officeDocument/2006/relationships/hyperlink" Target="https://www.ajot.com/news/raft-partners-with-paycargo-to-deliver-industry-leading-payment-process-for-freight-forwarders" TargetMode="External"/><Relationship Id="rIdw1pefkwwwgu07havepd6q" Type="http://schemas.openxmlformats.org/officeDocument/2006/relationships/hyperlink" Target="https://techstartups.com/2025/12/18/austrian-ai-startup-digicust-raises-e2-3m-to-automate-customs-clearance-across-europe-using-ai/" TargetMode="External"/><Relationship Id="rIdirgpflkkv3jzht1p4vm3v" Type="http://schemas.openxmlformats.org/officeDocument/2006/relationships/hyperlink" Target="https://xtras-log.com/eu-customs-reform-2026-digital-clearance-as-a-strategic-opportunity-for-freight-forwarders/" TargetMode="External"/><Relationship Id="rIdg8_nhmeqaumk2rqwcmokm" Type="http://schemas.openxmlformats.org/officeDocument/2006/relationships/hyperlink" Target="https://www.cloudzero.com/blog/copilot-studio-pricing/" TargetMode="External"/><Relationship Id="rIdwe3l7eigux8gcwuvqef0z" Type="http://schemas.openxmlformats.org/officeDocument/2006/relationships/hyperlink" Target="https://www.microsoft.com/en-us/microsoft-365-copilot/pricing/copilot-studio" TargetMode="External"/><Relationship Id="rId9q3bbtbns1usf_zusrkg-" Type="http://schemas.openxmlformats.org/officeDocument/2006/relationships/hyperlink" Target="https://northflank.com/blog/how-to-self-host-n8n-setup-architecture-and-pricing-guide" TargetMode="External"/><Relationship Id="rIdhacgl7rohm2gbcrb06hnu" Type="http://schemas.openxmlformats.org/officeDocument/2006/relationships/hyperlink" Target="https://www.nocode.mba/articles/zapier-pricing-2026" TargetMode="External"/><Relationship Id="rIdinro7n-zgfsodwn_q9nni" Type="http://schemas.openxmlformats.org/officeDocument/2006/relationships/hyperlink" Target="https://www.getmonetizely.com/articles/what-is-uipaths-ai-agent-pricing-for-process-automation-a-complete-breakdown" TargetMode="External"/><Relationship Id="rIdyuqzcxz8kty-oc7oqrdpb" Type="http://schemas.openxmlformats.org/officeDocument/2006/relationships/hyperlink" Target="https://www.kapa.ai/blog/build-vs-buy-ai-assistant-iceberg" TargetMode="External"/><Relationship Id="rIdd-bgd0rretpklrmrtfb0b" Type="http://schemas.openxmlformats.org/officeDocument/2006/relationships/hyperlink" Target="https://fin.ai/learn/build-vs-buy-ai-customer-service-agent"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5U AI — Research Dossier</dc:title>
  <dc:creator>5U AI research</dc:creator>
  <dc:description>Company, product, pricing and technology dossier on 5U AI</dc:description>
  <cp:lastModifiedBy>Un-named</cp:lastModifiedBy>
  <cp:revision>1</cp:revision>
  <dcterms:created xsi:type="dcterms:W3CDTF">2026-07-30T18:59:53.254Z</dcterms:created>
  <dcterms:modified xsi:type="dcterms:W3CDTF">2026-07-30T18:59:53.255Z</dcterms:modified>
</cp:coreProperties>
</file>

<file path=docProps/custom.xml><?xml version="1.0" encoding="utf-8"?>
<Properties xmlns="http://schemas.openxmlformats.org/officeDocument/2006/custom-properties" xmlns:vt="http://schemas.openxmlformats.org/officeDocument/2006/docPropsVTypes"/>
</file>