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0"/>
      </w:pPr>
    </w:p>
    <w:p>
      <w:pPr>
        <w:spacing w:before="0" w:after="60"/>
        <w:jc w:val="center"/>
      </w:pPr>
      <w:r>
        <w:rPr>
          <w:rFonts w:ascii="Arial" w:cs="Arial" w:eastAsia="Arial" w:hAnsi="Arial"/>
          <w:b/>
          <w:bCs/>
          <w:color w:val="1A5276"/>
          <w:sz w:val="56"/>
          <w:szCs w:val="56"/>
        </w:rPr>
        <w:t xml:space="preserve">NEXUS LOGISTICS AI</w:t>
      </w:r>
    </w:p>
    <w:p>
      <w:pPr>
        <w:spacing w:before="0" w:after="60"/>
        <w:jc w:val="center"/>
      </w:pPr>
      <w:r>
        <w:rPr>
          <w:rFonts w:ascii="Arial" w:cs="Arial" w:eastAsia="Arial" w:hAnsi="Arial"/>
          <w:b w:val="false"/>
          <w:bCs w:val="false"/>
          <w:color w:val="148F77"/>
          <w:sz w:val="28"/>
          <w:szCs w:val="28"/>
        </w:rPr>
        <w:t xml:space="preserve">Disruption-Proof Logistics Rerouting with Explainability</w:t>
      </w:r>
    </w:p>
    <w:p>
      <w:pPr>
        <w:pBdr>
          <w:bottom w:val="single" w:color="148F77" w:sz="6" w:space="1"/>
        </w:pBdr>
        <w:spacing w:before="40" w:after="160"/>
        <w:jc w:val="center"/>
      </w:pPr>
    </w:p>
    <w:p>
      <w:pPr>
        <w:spacing w:before="0" w:after="40"/>
        <w:jc w:val="center"/>
      </w:pPr>
      <w:r>
        <w:rPr>
          <w:rFonts w:ascii="Arial" w:cs="Arial" w:eastAsia="Arial" w:hAnsi="Arial"/>
          <w:i/>
          <w:iCs/>
          <w:color w:val="566573"/>
          <w:sz w:val="26"/>
          <w:szCs w:val="26"/>
        </w:rPr>
        <w:t xml:space="preserve">Project Report</w:t>
      </w:r>
    </w:p>
    <w:p>
      <w:pPr>
        <w:spacing w:before="0" w:after="40"/>
        <w:jc w:val="center"/>
      </w:pPr>
      <w:r>
        <w:rPr>
          <w:rFonts w:ascii="Arial" w:cs="Arial" w:eastAsia="Arial" w:hAnsi="Arial"/>
          <w:color w:val="566573"/>
          <w:sz w:val="22"/>
          <w:szCs w:val="22"/>
        </w:rPr>
        <w:t xml:space="preserve">Supply Chain Intelligence &amp; AI Domain</w:t>
      </w:r>
    </w:p>
    <w:p>
      <w:pPr>
        <w:spacing w:before="600" w:after="0"/>
      </w:pPr>
    </w:p>
    <w:p>
      <w:pPr>
        <w:spacing w:before="0" w:after="30"/>
        <w:jc w:val="center"/>
      </w:pPr>
      <w:r>
        <w:rPr>
          <w:rFonts w:ascii="Arial" w:cs="Arial" w:eastAsia="Arial" w:hAnsi="Arial"/>
          <w:b/>
          <w:bCs/>
          <w:color w:val="1B2631"/>
          <w:sz w:val="26"/>
          <w:szCs w:val="26"/>
        </w:rPr>
        <w:t xml:space="preserve">Abishek Johny</w:t>
      </w:r>
    </w:p>
    <w:p>
      <w:pPr>
        <w:spacing w:before="0" w:after="30"/>
        <w:jc w:val="center"/>
      </w:pPr>
      <w:r>
        <w:rPr>
          <w:rFonts w:ascii="Arial" w:cs="Arial" w:eastAsia="Arial" w:hAnsi="Arial"/>
          <w:color w:val="566573"/>
          <w:sz w:val="22"/>
          <w:szCs w:val="22"/>
        </w:rPr>
        <w:t xml:space="preserve">Data Science Intern — Wise Analytics</w:t>
      </w:r>
    </w:p>
    <w:p>
      <w:pPr>
        <w:spacing w:before="0" w:after="30"/>
        <w:jc w:val="center"/>
      </w:pPr>
      <w:r>
        <w:rPr>
          <w:rFonts w:ascii="Arial" w:cs="Arial" w:eastAsia="Arial" w:hAnsi="Arial"/>
          <w:color w:val="566573"/>
          <w:sz w:val="22"/>
          <w:szCs w:val="22"/>
        </w:rPr>
        <w:t xml:space="preserve">March 2026</w:t>
      </w:r>
    </w:p>
    <w:p>
      <w:r>
        <w:br w:type="page"/>
      </w:r>
    </w:p>
    <w:p>
      <w:pPr>
        <w:pStyle w:val="Heading1"/>
        <w:spacing w:before="340" w:after="80"/>
      </w:pPr>
      <w:r>
        <w:rPr>
          <w:rFonts w:ascii="Arial" w:cs="Arial" w:eastAsia="Arial" w:hAnsi="Arial"/>
          <w:b/>
          <w:bCs/>
          <w:color w:val="1A5276"/>
          <w:sz w:val="30"/>
          <w:szCs w:val="30"/>
        </w:rPr>
        <w:t xml:space="preserve">Table of Contents</w:t>
      </w:r>
    </w:p>
    <w:p>
      <w:pPr>
        <w:pBdr>
          <w:bottom w:val="single" w:color="2E86C1" w:sz="6" w:space="1"/>
        </w:pBdr>
        <w:spacing w:before="160" w:after="0"/>
      </w:pPr>
    </w:p>
    <w:p>
      <w:pPr>
        <w:spacing w:before="60" w:after="0"/>
      </w:pPr>
    </w:p>
    <w:p>
      <w:pPr>
        <w:tabs>
          <w:tab w:val="right" w:pos="9200"/>
        </w:tabs>
        <w:spacing w:before="30" w:after="30"/>
      </w:pPr>
      <w:r>
        <w:rPr>
          <w:rFonts w:ascii="Arial" w:cs="Arial" w:eastAsia="Arial" w:hAnsi="Arial"/>
          <w:color w:val="2C3E50"/>
          <w:sz w:val="20"/>
          <w:szCs w:val="20"/>
        </w:rPr>
        <w:t xml:space="preserve">Executive Summary</w:t>
      </w:r>
      <w:r>
        <w:rPr>
          <w:rFonts w:ascii="Arial" w:cs="Arial" w:eastAsia="Arial" w:hAnsi="Arial"/>
          <w:color w:val="566573"/>
          <w:sz w:val="20"/>
          <w:szCs w:val="20"/>
        </w:rPr>
        <w:t xml:space="preserve">	3</w:t>
      </w:r>
    </w:p>
    <w:p>
      <w:pPr>
        <w:tabs>
          <w:tab w:val="right" w:pos="9200"/>
        </w:tabs>
        <w:spacing w:before="30" w:after="30"/>
      </w:pPr>
      <w:r>
        <w:rPr>
          <w:rFonts w:ascii="Arial" w:cs="Arial" w:eastAsia="Arial" w:hAnsi="Arial"/>
          <w:color w:val="2C3E50"/>
          <w:sz w:val="20"/>
          <w:szCs w:val="20"/>
        </w:rPr>
        <w:t xml:space="preserve">   Key Achievements</w:t>
      </w:r>
      <w:r>
        <w:rPr>
          <w:rFonts w:ascii="Arial" w:cs="Arial" w:eastAsia="Arial" w:hAnsi="Arial"/>
          <w:color w:val="566573"/>
          <w:sz w:val="20"/>
          <w:szCs w:val="20"/>
        </w:rPr>
        <w:t xml:space="preserve">	3</w:t>
      </w:r>
    </w:p>
    <w:p>
      <w:pPr>
        <w:tabs>
          <w:tab w:val="right" w:pos="9200"/>
        </w:tabs>
        <w:spacing w:before="30" w:after="30"/>
      </w:pPr>
      <w:r>
        <w:rPr>
          <w:rFonts w:ascii="Arial" w:cs="Arial" w:eastAsia="Arial" w:hAnsi="Arial"/>
          <w:color w:val="2C3E50"/>
          <w:sz w:val="20"/>
          <w:szCs w:val="20"/>
        </w:rPr>
        <w:t xml:space="preserve">   Business Impact</w:t>
      </w:r>
      <w:r>
        <w:rPr>
          <w:rFonts w:ascii="Arial" w:cs="Arial" w:eastAsia="Arial" w:hAnsi="Arial"/>
          <w:color w:val="566573"/>
          <w:sz w:val="20"/>
          <w:szCs w:val="20"/>
        </w:rPr>
        <w:t xml:space="preserve">	3</w:t>
      </w:r>
    </w:p>
    <w:p>
      <w:pPr>
        <w:tabs>
          <w:tab w:val="right" w:pos="9200"/>
        </w:tabs>
        <w:spacing w:before="30" w:after="30"/>
      </w:pPr>
      <w:r>
        <w:rPr>
          <w:rFonts w:ascii="Arial" w:cs="Arial" w:eastAsia="Arial" w:hAnsi="Arial"/>
          <w:color w:val="2C3E50"/>
          <w:sz w:val="20"/>
          <w:szCs w:val="20"/>
        </w:rPr>
        <w:t xml:space="preserve">1. Introduction</w:t>
      </w:r>
      <w:r>
        <w:rPr>
          <w:rFonts w:ascii="Arial" w:cs="Arial" w:eastAsia="Arial" w:hAnsi="Arial"/>
          <w:color w:val="566573"/>
          <w:sz w:val="20"/>
          <w:szCs w:val="20"/>
        </w:rPr>
        <w:t xml:space="preserve">	4</w:t>
      </w:r>
    </w:p>
    <w:p>
      <w:pPr>
        <w:tabs>
          <w:tab w:val="right" w:pos="9200"/>
        </w:tabs>
        <w:spacing w:before="30" w:after="30"/>
      </w:pPr>
      <w:r>
        <w:rPr>
          <w:rFonts w:ascii="Arial" w:cs="Arial" w:eastAsia="Arial" w:hAnsi="Arial"/>
          <w:color w:val="2C3E50"/>
          <w:sz w:val="20"/>
          <w:szCs w:val="20"/>
        </w:rPr>
        <w:t xml:space="preserve">   1.1 Problem Statement</w:t>
      </w:r>
      <w:r>
        <w:rPr>
          <w:rFonts w:ascii="Arial" w:cs="Arial" w:eastAsia="Arial" w:hAnsi="Arial"/>
          <w:color w:val="566573"/>
          <w:sz w:val="20"/>
          <w:szCs w:val="20"/>
        </w:rPr>
        <w:t xml:space="preserve">	4</w:t>
      </w:r>
    </w:p>
    <w:p>
      <w:pPr>
        <w:tabs>
          <w:tab w:val="right" w:pos="9200"/>
        </w:tabs>
        <w:spacing w:before="30" w:after="30"/>
      </w:pPr>
      <w:r>
        <w:rPr>
          <w:rFonts w:ascii="Arial" w:cs="Arial" w:eastAsia="Arial" w:hAnsi="Arial"/>
          <w:color w:val="2C3E50"/>
          <w:sz w:val="20"/>
          <w:szCs w:val="20"/>
        </w:rPr>
        <w:t xml:space="preserve">   1.2 Project Objectives</w:t>
      </w:r>
      <w:r>
        <w:rPr>
          <w:rFonts w:ascii="Arial" w:cs="Arial" w:eastAsia="Arial" w:hAnsi="Arial"/>
          <w:color w:val="566573"/>
          <w:sz w:val="20"/>
          <w:szCs w:val="20"/>
        </w:rPr>
        <w:t xml:space="preserve">	4</w:t>
      </w:r>
    </w:p>
    <w:p>
      <w:pPr>
        <w:tabs>
          <w:tab w:val="right" w:pos="9200"/>
        </w:tabs>
        <w:spacing w:before="30" w:after="30"/>
      </w:pPr>
      <w:r>
        <w:rPr>
          <w:rFonts w:ascii="Arial" w:cs="Arial" w:eastAsia="Arial" w:hAnsi="Arial"/>
          <w:color w:val="2C3E50"/>
          <w:sz w:val="20"/>
          <w:szCs w:val="20"/>
        </w:rPr>
        <w:t xml:space="preserve">   1.3 Scope</w:t>
      </w:r>
      <w:r>
        <w:rPr>
          <w:rFonts w:ascii="Arial" w:cs="Arial" w:eastAsia="Arial" w:hAnsi="Arial"/>
          <w:color w:val="566573"/>
          <w:sz w:val="20"/>
          <w:szCs w:val="20"/>
        </w:rPr>
        <w:t xml:space="preserve">	4</w:t>
      </w:r>
    </w:p>
    <w:p>
      <w:pPr>
        <w:tabs>
          <w:tab w:val="right" w:pos="9200"/>
        </w:tabs>
        <w:spacing w:before="30" w:after="30"/>
      </w:pPr>
      <w:r>
        <w:rPr>
          <w:rFonts w:ascii="Arial" w:cs="Arial" w:eastAsia="Arial" w:hAnsi="Arial"/>
          <w:color w:val="2C3E50"/>
          <w:sz w:val="20"/>
          <w:szCs w:val="20"/>
        </w:rPr>
        <w:t xml:space="preserve">2. Methodology</w:t>
      </w:r>
      <w:r>
        <w:rPr>
          <w:rFonts w:ascii="Arial" w:cs="Arial" w:eastAsia="Arial" w:hAnsi="Arial"/>
          <w:color w:val="566573"/>
          <w:sz w:val="20"/>
          <w:szCs w:val="20"/>
        </w:rPr>
        <w:t xml:space="preserve">	5</w:t>
      </w:r>
    </w:p>
    <w:p>
      <w:pPr>
        <w:tabs>
          <w:tab w:val="right" w:pos="9200"/>
        </w:tabs>
        <w:spacing w:before="30" w:after="30"/>
      </w:pPr>
      <w:r>
        <w:rPr>
          <w:rFonts w:ascii="Arial" w:cs="Arial" w:eastAsia="Arial" w:hAnsi="Arial"/>
          <w:color w:val="2C3E50"/>
          <w:sz w:val="20"/>
          <w:szCs w:val="20"/>
        </w:rPr>
        <w:t xml:space="preserve">   2.1 Dataset Overview</w:t>
      </w:r>
      <w:r>
        <w:rPr>
          <w:rFonts w:ascii="Arial" w:cs="Arial" w:eastAsia="Arial" w:hAnsi="Arial"/>
          <w:color w:val="566573"/>
          <w:sz w:val="20"/>
          <w:szCs w:val="20"/>
        </w:rPr>
        <w:t xml:space="preserve">	5</w:t>
      </w:r>
    </w:p>
    <w:p>
      <w:pPr>
        <w:tabs>
          <w:tab w:val="right" w:pos="9200"/>
        </w:tabs>
        <w:spacing w:before="30" w:after="30"/>
      </w:pPr>
      <w:r>
        <w:rPr>
          <w:rFonts w:ascii="Arial" w:cs="Arial" w:eastAsia="Arial" w:hAnsi="Arial"/>
          <w:color w:val="2C3E50"/>
          <w:sz w:val="20"/>
          <w:szCs w:val="20"/>
        </w:rPr>
        <w:t xml:space="preserve">   2.2 Machine Learning Architecture</w:t>
      </w:r>
      <w:r>
        <w:rPr>
          <w:rFonts w:ascii="Arial" w:cs="Arial" w:eastAsia="Arial" w:hAnsi="Arial"/>
          <w:color w:val="566573"/>
          <w:sz w:val="20"/>
          <w:szCs w:val="20"/>
        </w:rPr>
        <w:t xml:space="preserve">	5</w:t>
      </w:r>
    </w:p>
    <w:p>
      <w:pPr>
        <w:tabs>
          <w:tab w:val="right" w:pos="9200"/>
        </w:tabs>
        <w:spacing w:before="30" w:after="30"/>
      </w:pPr>
      <w:r>
        <w:rPr>
          <w:rFonts w:ascii="Arial" w:cs="Arial" w:eastAsia="Arial" w:hAnsi="Arial"/>
          <w:color w:val="2C3E50"/>
          <w:sz w:val="20"/>
          <w:szCs w:val="20"/>
        </w:rPr>
        <w:t xml:space="preserve">3. Phase 1 — Discovery &amp; EDA</w:t>
      </w:r>
      <w:r>
        <w:rPr>
          <w:rFonts w:ascii="Arial" w:cs="Arial" w:eastAsia="Arial" w:hAnsi="Arial"/>
          <w:color w:val="566573"/>
          <w:sz w:val="20"/>
          <w:szCs w:val="20"/>
        </w:rPr>
        <w:t xml:space="preserve">	6</w:t>
      </w:r>
    </w:p>
    <w:p>
      <w:pPr>
        <w:tabs>
          <w:tab w:val="right" w:pos="9200"/>
        </w:tabs>
        <w:spacing w:before="30" w:after="30"/>
      </w:pPr>
      <w:r>
        <w:rPr>
          <w:rFonts w:ascii="Arial" w:cs="Arial" w:eastAsia="Arial" w:hAnsi="Arial"/>
          <w:color w:val="2C3E50"/>
          <w:sz w:val="20"/>
          <w:szCs w:val="20"/>
        </w:rPr>
        <w:t xml:space="preserve">   3.1 Data Quality &amp; Cleaning</w:t>
      </w:r>
      <w:r>
        <w:rPr>
          <w:rFonts w:ascii="Arial" w:cs="Arial" w:eastAsia="Arial" w:hAnsi="Arial"/>
          <w:color w:val="566573"/>
          <w:sz w:val="20"/>
          <w:szCs w:val="20"/>
        </w:rPr>
        <w:t xml:space="preserve">	6</w:t>
      </w:r>
    </w:p>
    <w:p>
      <w:pPr>
        <w:tabs>
          <w:tab w:val="right" w:pos="9200"/>
        </w:tabs>
        <w:spacing w:before="30" w:after="30"/>
      </w:pPr>
      <w:r>
        <w:rPr>
          <w:rFonts w:ascii="Arial" w:cs="Arial" w:eastAsia="Arial" w:hAnsi="Arial"/>
          <w:color w:val="2C3E50"/>
          <w:sz w:val="20"/>
          <w:szCs w:val="20"/>
        </w:rPr>
        <w:t xml:space="preserve">   3.2 Key EDA Findings</w:t>
      </w:r>
      <w:r>
        <w:rPr>
          <w:rFonts w:ascii="Arial" w:cs="Arial" w:eastAsia="Arial" w:hAnsi="Arial"/>
          <w:color w:val="566573"/>
          <w:sz w:val="20"/>
          <w:szCs w:val="20"/>
        </w:rPr>
        <w:t xml:space="preserve">	6</w:t>
      </w:r>
    </w:p>
    <w:p>
      <w:pPr>
        <w:tabs>
          <w:tab w:val="right" w:pos="9200"/>
        </w:tabs>
        <w:spacing w:before="30" w:after="30"/>
      </w:pPr>
      <w:r>
        <w:rPr>
          <w:rFonts w:ascii="Arial" w:cs="Arial" w:eastAsia="Arial" w:hAnsi="Arial"/>
          <w:color w:val="2C3E50"/>
          <w:sz w:val="20"/>
          <w:szCs w:val="20"/>
        </w:rPr>
        <w:t xml:space="preserve">   3.3 Correlation Highlights</w:t>
      </w:r>
      <w:r>
        <w:rPr>
          <w:rFonts w:ascii="Arial" w:cs="Arial" w:eastAsia="Arial" w:hAnsi="Arial"/>
          <w:color w:val="566573"/>
          <w:sz w:val="20"/>
          <w:szCs w:val="20"/>
        </w:rPr>
        <w:t xml:space="preserve">	6</w:t>
      </w:r>
    </w:p>
    <w:p>
      <w:pPr>
        <w:tabs>
          <w:tab w:val="right" w:pos="9200"/>
        </w:tabs>
        <w:spacing w:before="30" w:after="30"/>
      </w:pPr>
      <w:r>
        <w:rPr>
          <w:rFonts w:ascii="Arial" w:cs="Arial" w:eastAsia="Arial" w:hAnsi="Arial"/>
          <w:color w:val="2C3E50"/>
          <w:sz w:val="20"/>
          <w:szCs w:val="20"/>
        </w:rPr>
        <w:t xml:space="preserve">4. Phase 2 — Feature Engineering &amp; Modeling</w:t>
      </w:r>
      <w:r>
        <w:rPr>
          <w:rFonts w:ascii="Arial" w:cs="Arial" w:eastAsia="Arial" w:hAnsi="Arial"/>
          <w:color w:val="566573"/>
          <w:sz w:val="20"/>
          <w:szCs w:val="20"/>
        </w:rPr>
        <w:t xml:space="preserve">	7</w:t>
      </w:r>
    </w:p>
    <w:p>
      <w:pPr>
        <w:tabs>
          <w:tab w:val="right" w:pos="9200"/>
        </w:tabs>
        <w:spacing w:before="30" w:after="30"/>
      </w:pPr>
      <w:r>
        <w:rPr>
          <w:rFonts w:ascii="Arial" w:cs="Arial" w:eastAsia="Arial" w:hAnsi="Arial"/>
          <w:color w:val="2C3E50"/>
          <w:sz w:val="20"/>
          <w:szCs w:val="20"/>
        </w:rPr>
        <w:t xml:space="preserve">   4.1 Feature Engineering</w:t>
      </w:r>
      <w:r>
        <w:rPr>
          <w:rFonts w:ascii="Arial" w:cs="Arial" w:eastAsia="Arial" w:hAnsi="Arial"/>
          <w:color w:val="566573"/>
          <w:sz w:val="20"/>
          <w:szCs w:val="20"/>
        </w:rPr>
        <w:t xml:space="preserve">	7</w:t>
      </w:r>
    </w:p>
    <w:p>
      <w:pPr>
        <w:tabs>
          <w:tab w:val="right" w:pos="9200"/>
        </w:tabs>
        <w:spacing w:before="30" w:after="30"/>
      </w:pPr>
      <w:r>
        <w:rPr>
          <w:rFonts w:ascii="Arial" w:cs="Arial" w:eastAsia="Arial" w:hAnsi="Arial"/>
          <w:color w:val="2C3E50"/>
          <w:sz w:val="20"/>
          <w:szCs w:val="20"/>
        </w:rPr>
        <w:t xml:space="preserve">   4.2 Model Benchmarking</w:t>
      </w:r>
      <w:r>
        <w:rPr>
          <w:rFonts w:ascii="Arial" w:cs="Arial" w:eastAsia="Arial" w:hAnsi="Arial"/>
          <w:color w:val="566573"/>
          <w:sz w:val="20"/>
          <w:szCs w:val="20"/>
        </w:rPr>
        <w:t xml:space="preserve">	8</w:t>
      </w:r>
    </w:p>
    <w:p>
      <w:pPr>
        <w:tabs>
          <w:tab w:val="right" w:pos="9200"/>
        </w:tabs>
        <w:spacing w:before="30" w:after="30"/>
      </w:pPr>
      <w:r>
        <w:rPr>
          <w:rFonts w:ascii="Arial" w:cs="Arial" w:eastAsia="Arial" w:hAnsi="Arial"/>
          <w:color w:val="2C3E50"/>
          <w:sz w:val="20"/>
          <w:szCs w:val="20"/>
        </w:rPr>
        <w:t xml:space="preserve">   4.3 Time-Series Cross-Validation</w:t>
      </w:r>
      <w:r>
        <w:rPr>
          <w:rFonts w:ascii="Arial" w:cs="Arial" w:eastAsia="Arial" w:hAnsi="Arial"/>
          <w:color w:val="566573"/>
          <w:sz w:val="20"/>
          <w:szCs w:val="20"/>
        </w:rPr>
        <w:t xml:space="preserve">	8</w:t>
      </w:r>
    </w:p>
    <w:p>
      <w:pPr>
        <w:tabs>
          <w:tab w:val="right" w:pos="9200"/>
        </w:tabs>
        <w:spacing w:before="30" w:after="30"/>
      </w:pPr>
      <w:r>
        <w:rPr>
          <w:rFonts w:ascii="Arial" w:cs="Arial" w:eastAsia="Arial" w:hAnsi="Arial"/>
          <w:color w:val="2C3E50"/>
          <w:sz w:val="20"/>
          <w:szCs w:val="20"/>
        </w:rPr>
        <w:t xml:space="preserve">5. Phase 3 — Tuning, XAI &amp; LangGraph Agent</w:t>
      </w:r>
      <w:r>
        <w:rPr>
          <w:rFonts w:ascii="Arial" w:cs="Arial" w:eastAsia="Arial" w:hAnsi="Arial"/>
          <w:color w:val="566573"/>
          <w:sz w:val="20"/>
          <w:szCs w:val="20"/>
        </w:rPr>
        <w:t xml:space="preserve">	10</w:t>
      </w:r>
    </w:p>
    <w:p>
      <w:pPr>
        <w:tabs>
          <w:tab w:val="right" w:pos="9200"/>
        </w:tabs>
        <w:spacing w:before="30" w:after="30"/>
      </w:pPr>
      <w:r>
        <w:rPr>
          <w:rFonts w:ascii="Arial" w:cs="Arial" w:eastAsia="Arial" w:hAnsi="Arial"/>
          <w:color w:val="2C3E50"/>
          <w:sz w:val="20"/>
          <w:szCs w:val="20"/>
        </w:rPr>
        <w:t xml:space="preserve">   5.1 Hyperparameter Tuning (GridSearchCV)</w:t>
      </w:r>
      <w:r>
        <w:rPr>
          <w:rFonts w:ascii="Arial" w:cs="Arial" w:eastAsia="Arial" w:hAnsi="Arial"/>
          <w:color w:val="566573"/>
          <w:sz w:val="20"/>
          <w:szCs w:val="20"/>
        </w:rPr>
        <w:t xml:space="preserve">	10</w:t>
      </w:r>
    </w:p>
    <w:p>
      <w:pPr>
        <w:tabs>
          <w:tab w:val="right" w:pos="9200"/>
        </w:tabs>
        <w:spacing w:before="30" w:after="30"/>
      </w:pPr>
      <w:r>
        <w:rPr>
          <w:rFonts w:ascii="Arial" w:cs="Arial" w:eastAsia="Arial" w:hAnsi="Arial"/>
          <w:color w:val="2C3E50"/>
          <w:sz w:val="20"/>
          <w:szCs w:val="20"/>
        </w:rPr>
        <w:t xml:space="preserve">   5.2 SHAP-Style Feature Importance (Permutation-Based XAI)</w:t>
      </w:r>
      <w:r>
        <w:rPr>
          <w:rFonts w:ascii="Arial" w:cs="Arial" w:eastAsia="Arial" w:hAnsi="Arial"/>
          <w:color w:val="566573"/>
          <w:sz w:val="20"/>
          <w:szCs w:val="20"/>
        </w:rPr>
        <w:t xml:space="preserve">	10</w:t>
      </w:r>
    </w:p>
    <w:p>
      <w:pPr>
        <w:tabs>
          <w:tab w:val="right" w:pos="9200"/>
        </w:tabs>
        <w:spacing w:before="30" w:after="30"/>
      </w:pPr>
      <w:r>
        <w:rPr>
          <w:rFonts w:ascii="Arial" w:cs="Arial" w:eastAsia="Arial" w:hAnsi="Arial"/>
          <w:color w:val="2C3E50"/>
          <w:sz w:val="20"/>
          <w:szCs w:val="20"/>
        </w:rPr>
        <w:t xml:space="preserve">   5.3 LangGraph Decision Agent</w:t>
      </w:r>
      <w:r>
        <w:rPr>
          <w:rFonts w:ascii="Arial" w:cs="Arial" w:eastAsia="Arial" w:hAnsi="Arial"/>
          <w:color w:val="566573"/>
          <w:sz w:val="20"/>
          <w:szCs w:val="20"/>
        </w:rPr>
        <w:t xml:space="preserve">	11</w:t>
      </w:r>
    </w:p>
    <w:p>
      <w:pPr>
        <w:tabs>
          <w:tab w:val="right" w:pos="9200"/>
        </w:tabs>
        <w:spacing w:before="30" w:after="30"/>
      </w:pPr>
      <w:r>
        <w:rPr>
          <w:rFonts w:ascii="Arial" w:cs="Arial" w:eastAsia="Arial" w:hAnsi="Arial"/>
          <w:color w:val="2C3E50"/>
          <w:sz w:val="20"/>
          <w:szCs w:val="20"/>
        </w:rPr>
        <w:t xml:space="preserve">6. Phase 4 — Dashboard &amp; Visualization</w:t>
      </w:r>
      <w:r>
        <w:rPr>
          <w:rFonts w:ascii="Arial" w:cs="Arial" w:eastAsia="Arial" w:hAnsi="Arial"/>
          <w:color w:val="566573"/>
          <w:sz w:val="20"/>
          <w:szCs w:val="20"/>
        </w:rPr>
        <w:t xml:space="preserve">	12</w:t>
      </w:r>
    </w:p>
    <w:p>
      <w:pPr>
        <w:tabs>
          <w:tab w:val="right" w:pos="9200"/>
        </w:tabs>
        <w:spacing w:before="30" w:after="30"/>
      </w:pPr>
      <w:r>
        <w:rPr>
          <w:rFonts w:ascii="Arial" w:cs="Arial" w:eastAsia="Arial" w:hAnsi="Arial"/>
          <w:color w:val="2C3E50"/>
          <w:sz w:val="20"/>
          <w:szCs w:val="20"/>
        </w:rPr>
        <w:t xml:space="preserve">   Dashboard Tabs</w:t>
      </w:r>
      <w:r>
        <w:rPr>
          <w:rFonts w:ascii="Arial" w:cs="Arial" w:eastAsia="Arial" w:hAnsi="Arial"/>
          <w:color w:val="566573"/>
          <w:sz w:val="20"/>
          <w:szCs w:val="20"/>
        </w:rPr>
        <w:t xml:space="preserve">	12</w:t>
      </w:r>
    </w:p>
    <w:p>
      <w:pPr>
        <w:tabs>
          <w:tab w:val="right" w:pos="9200"/>
        </w:tabs>
        <w:spacing w:before="30" w:after="30"/>
      </w:pPr>
      <w:r>
        <w:rPr>
          <w:rFonts w:ascii="Arial" w:cs="Arial" w:eastAsia="Arial" w:hAnsi="Arial"/>
          <w:color w:val="2C3E50"/>
          <w:sz w:val="20"/>
          <w:szCs w:val="20"/>
        </w:rPr>
        <w:t xml:space="preserve">   LP Route Optimization</w:t>
      </w:r>
      <w:r>
        <w:rPr>
          <w:rFonts w:ascii="Arial" w:cs="Arial" w:eastAsia="Arial" w:hAnsi="Arial"/>
          <w:color w:val="566573"/>
          <w:sz w:val="20"/>
          <w:szCs w:val="20"/>
        </w:rPr>
        <w:t xml:space="preserve">	12</w:t>
      </w:r>
    </w:p>
    <w:p>
      <w:pPr>
        <w:tabs>
          <w:tab w:val="right" w:pos="9200"/>
        </w:tabs>
        <w:spacing w:before="30" w:after="30"/>
      </w:pPr>
      <w:r>
        <w:rPr>
          <w:rFonts w:ascii="Arial" w:cs="Arial" w:eastAsia="Arial" w:hAnsi="Arial"/>
          <w:color w:val="2C3E50"/>
          <w:sz w:val="20"/>
          <w:szCs w:val="20"/>
        </w:rPr>
        <w:t xml:space="preserve">7. Results &amp; Key Insights</w:t>
      </w:r>
      <w:r>
        <w:rPr>
          <w:rFonts w:ascii="Arial" w:cs="Arial" w:eastAsia="Arial" w:hAnsi="Arial"/>
          <w:color w:val="566573"/>
          <w:sz w:val="20"/>
          <w:szCs w:val="20"/>
        </w:rPr>
        <w:t xml:space="preserve">	13</w:t>
      </w:r>
    </w:p>
    <w:p>
      <w:pPr>
        <w:tabs>
          <w:tab w:val="right" w:pos="9200"/>
        </w:tabs>
        <w:spacing w:before="30" w:after="30"/>
      </w:pPr>
      <w:r>
        <w:rPr>
          <w:rFonts w:ascii="Arial" w:cs="Arial" w:eastAsia="Arial" w:hAnsi="Arial"/>
          <w:color w:val="2C3E50"/>
          <w:sz w:val="20"/>
          <w:szCs w:val="20"/>
        </w:rPr>
        <w:t xml:space="preserve">   7.1 Model Performance Summary</w:t>
      </w:r>
      <w:r>
        <w:rPr>
          <w:rFonts w:ascii="Arial" w:cs="Arial" w:eastAsia="Arial" w:hAnsi="Arial"/>
          <w:color w:val="566573"/>
          <w:sz w:val="20"/>
          <w:szCs w:val="20"/>
        </w:rPr>
        <w:t xml:space="preserve">	13</w:t>
      </w:r>
    </w:p>
    <w:p>
      <w:pPr>
        <w:tabs>
          <w:tab w:val="right" w:pos="9200"/>
        </w:tabs>
        <w:spacing w:before="30" w:after="30"/>
      </w:pPr>
      <w:r>
        <w:rPr>
          <w:rFonts w:ascii="Arial" w:cs="Arial" w:eastAsia="Arial" w:hAnsi="Arial"/>
          <w:color w:val="2C3E50"/>
          <w:sz w:val="20"/>
          <w:szCs w:val="20"/>
        </w:rPr>
        <w:t xml:space="preserve">   7.2 Dataset-Level Insights</w:t>
      </w:r>
      <w:r>
        <w:rPr>
          <w:rFonts w:ascii="Arial" w:cs="Arial" w:eastAsia="Arial" w:hAnsi="Arial"/>
          <w:color w:val="566573"/>
          <w:sz w:val="20"/>
          <w:szCs w:val="20"/>
        </w:rPr>
        <w:t xml:space="preserve">	13</w:t>
      </w:r>
    </w:p>
    <w:p>
      <w:pPr>
        <w:tabs>
          <w:tab w:val="right" w:pos="9200"/>
        </w:tabs>
        <w:spacing w:before="30" w:after="30"/>
      </w:pPr>
      <w:r>
        <w:rPr>
          <w:rFonts w:ascii="Arial" w:cs="Arial" w:eastAsia="Arial" w:hAnsi="Arial"/>
          <w:color w:val="2C3E50"/>
          <w:sz w:val="20"/>
          <w:szCs w:val="20"/>
        </w:rPr>
        <w:t xml:space="preserve">   7.3 Feature-Level Insights</w:t>
      </w:r>
      <w:r>
        <w:rPr>
          <w:rFonts w:ascii="Arial" w:cs="Arial" w:eastAsia="Arial" w:hAnsi="Arial"/>
          <w:color w:val="566573"/>
          <w:sz w:val="20"/>
          <w:szCs w:val="20"/>
        </w:rPr>
        <w:t xml:space="preserve">	13</w:t>
      </w:r>
    </w:p>
    <w:p>
      <w:pPr>
        <w:tabs>
          <w:tab w:val="right" w:pos="9200"/>
        </w:tabs>
        <w:spacing w:before="30" w:after="30"/>
      </w:pPr>
      <w:r>
        <w:rPr>
          <w:rFonts w:ascii="Arial" w:cs="Arial" w:eastAsia="Arial" w:hAnsi="Arial"/>
          <w:color w:val="2C3E50"/>
          <w:sz w:val="20"/>
          <w:szCs w:val="20"/>
        </w:rPr>
        <w:t xml:space="preserve">8. Actionable Recommendations</w:t>
      </w:r>
      <w:r>
        <w:rPr>
          <w:rFonts w:ascii="Arial" w:cs="Arial" w:eastAsia="Arial" w:hAnsi="Arial"/>
          <w:color w:val="566573"/>
          <w:sz w:val="20"/>
          <w:szCs w:val="20"/>
        </w:rPr>
        <w:t xml:space="preserve">	14</w:t>
      </w:r>
    </w:p>
    <w:p>
      <w:pPr>
        <w:tabs>
          <w:tab w:val="right" w:pos="9200"/>
        </w:tabs>
        <w:spacing w:before="30" w:after="30"/>
      </w:pPr>
      <w:r>
        <w:rPr>
          <w:rFonts w:ascii="Arial" w:cs="Arial" w:eastAsia="Arial" w:hAnsi="Arial"/>
          <w:color w:val="2C3E50"/>
          <w:sz w:val="20"/>
          <w:szCs w:val="20"/>
        </w:rPr>
        <w:t xml:space="preserve">   Immediate Priorities</w:t>
      </w:r>
      <w:r>
        <w:rPr>
          <w:rFonts w:ascii="Arial" w:cs="Arial" w:eastAsia="Arial" w:hAnsi="Arial"/>
          <w:color w:val="566573"/>
          <w:sz w:val="20"/>
          <w:szCs w:val="20"/>
        </w:rPr>
        <w:t xml:space="preserve">	14</w:t>
      </w:r>
    </w:p>
    <w:p>
      <w:pPr>
        <w:tabs>
          <w:tab w:val="right" w:pos="9200"/>
        </w:tabs>
        <w:spacing w:before="30" w:after="30"/>
      </w:pPr>
      <w:r>
        <w:rPr>
          <w:rFonts w:ascii="Arial" w:cs="Arial" w:eastAsia="Arial" w:hAnsi="Arial"/>
          <w:color w:val="2C3E50"/>
          <w:sz w:val="20"/>
          <w:szCs w:val="20"/>
        </w:rPr>
        <w:t xml:space="preserve">   Medium-Term Improvements</w:t>
      </w:r>
      <w:r>
        <w:rPr>
          <w:rFonts w:ascii="Arial" w:cs="Arial" w:eastAsia="Arial" w:hAnsi="Arial"/>
          <w:color w:val="566573"/>
          <w:sz w:val="20"/>
          <w:szCs w:val="20"/>
        </w:rPr>
        <w:t xml:space="preserve">	14</w:t>
      </w:r>
    </w:p>
    <w:p>
      <w:pPr>
        <w:tabs>
          <w:tab w:val="right" w:pos="9200"/>
        </w:tabs>
        <w:spacing w:before="30" w:after="30"/>
      </w:pPr>
      <w:r>
        <w:rPr>
          <w:rFonts w:ascii="Arial" w:cs="Arial" w:eastAsia="Arial" w:hAnsi="Arial"/>
          <w:color w:val="2C3E50"/>
          <w:sz w:val="20"/>
          <w:szCs w:val="20"/>
        </w:rPr>
        <w:t xml:space="preserve">   Long-Term Enhancements</w:t>
      </w:r>
      <w:r>
        <w:rPr>
          <w:rFonts w:ascii="Arial" w:cs="Arial" w:eastAsia="Arial" w:hAnsi="Arial"/>
          <w:color w:val="566573"/>
          <w:sz w:val="20"/>
          <w:szCs w:val="20"/>
        </w:rPr>
        <w:t xml:space="preserve">	14</w:t>
      </w:r>
    </w:p>
    <w:p>
      <w:pPr>
        <w:tabs>
          <w:tab w:val="right" w:pos="9200"/>
        </w:tabs>
        <w:spacing w:before="30" w:after="30"/>
      </w:pPr>
      <w:r>
        <w:rPr>
          <w:rFonts w:ascii="Arial" w:cs="Arial" w:eastAsia="Arial" w:hAnsi="Arial"/>
          <w:color w:val="2C3E50"/>
          <w:sz w:val="20"/>
          <w:szCs w:val="20"/>
        </w:rPr>
        <w:t xml:space="preserve">9. Project Deliverables</w:t>
      </w:r>
      <w:r>
        <w:rPr>
          <w:rFonts w:ascii="Arial" w:cs="Arial" w:eastAsia="Arial" w:hAnsi="Arial"/>
          <w:color w:val="566573"/>
          <w:sz w:val="20"/>
          <w:szCs w:val="20"/>
        </w:rPr>
        <w:t xml:space="preserve">	15</w:t>
      </w:r>
    </w:p>
    <w:p>
      <w:pPr>
        <w:tabs>
          <w:tab w:val="right" w:pos="9200"/>
        </w:tabs>
        <w:spacing w:before="30" w:after="30"/>
      </w:pPr>
      <w:r>
        <w:rPr>
          <w:rFonts w:ascii="Arial" w:cs="Arial" w:eastAsia="Arial" w:hAnsi="Arial"/>
          <w:color w:val="2C3E50"/>
          <w:sz w:val="20"/>
          <w:szCs w:val="20"/>
        </w:rPr>
        <w:t xml:space="preserve">   9.1 Technical Components</w:t>
      </w:r>
      <w:r>
        <w:rPr>
          <w:rFonts w:ascii="Arial" w:cs="Arial" w:eastAsia="Arial" w:hAnsi="Arial"/>
          <w:color w:val="566573"/>
          <w:sz w:val="20"/>
          <w:szCs w:val="20"/>
        </w:rPr>
        <w:t xml:space="preserve">	15</w:t>
      </w:r>
    </w:p>
    <w:p>
      <w:pPr>
        <w:tabs>
          <w:tab w:val="right" w:pos="9200"/>
        </w:tabs>
        <w:spacing w:before="30" w:after="30"/>
      </w:pPr>
      <w:r>
        <w:rPr>
          <w:rFonts w:ascii="Arial" w:cs="Arial" w:eastAsia="Arial" w:hAnsi="Arial"/>
          <w:color w:val="2C3E50"/>
          <w:sz w:val="20"/>
          <w:szCs w:val="20"/>
        </w:rPr>
        <w:t xml:space="preserve">   9.2 Analytical Outputs</w:t>
      </w:r>
      <w:r>
        <w:rPr>
          <w:rFonts w:ascii="Arial" w:cs="Arial" w:eastAsia="Arial" w:hAnsi="Arial"/>
          <w:color w:val="566573"/>
          <w:sz w:val="20"/>
          <w:szCs w:val="20"/>
        </w:rPr>
        <w:t xml:space="preserve">	15</w:t>
      </w:r>
    </w:p>
    <w:p>
      <w:pPr>
        <w:tabs>
          <w:tab w:val="right" w:pos="9200"/>
        </w:tabs>
        <w:spacing w:before="30" w:after="30"/>
      </w:pPr>
      <w:r>
        <w:rPr>
          <w:rFonts w:ascii="Arial" w:cs="Arial" w:eastAsia="Arial" w:hAnsi="Arial"/>
          <w:color w:val="2C3E50"/>
          <w:sz w:val="20"/>
          <w:szCs w:val="20"/>
        </w:rPr>
        <w:t xml:space="preserve">10. Conclusion &amp; Future Work</w:t>
      </w:r>
      <w:r>
        <w:rPr>
          <w:rFonts w:ascii="Arial" w:cs="Arial" w:eastAsia="Arial" w:hAnsi="Arial"/>
          <w:color w:val="566573"/>
          <w:sz w:val="20"/>
          <w:szCs w:val="20"/>
        </w:rPr>
        <w:t xml:space="preserve">	16</w:t>
      </w:r>
    </w:p>
    <w:p>
      <w:pPr>
        <w:tabs>
          <w:tab w:val="right" w:pos="9200"/>
        </w:tabs>
        <w:spacing w:before="30" w:after="30"/>
      </w:pPr>
      <w:r>
        <w:rPr>
          <w:rFonts w:ascii="Arial" w:cs="Arial" w:eastAsia="Arial" w:hAnsi="Arial"/>
          <w:color w:val="2C3E50"/>
          <w:sz w:val="20"/>
          <w:szCs w:val="20"/>
        </w:rPr>
        <w:t xml:space="preserve">   10.1 Project Summary</w:t>
      </w:r>
      <w:r>
        <w:rPr>
          <w:rFonts w:ascii="Arial" w:cs="Arial" w:eastAsia="Arial" w:hAnsi="Arial"/>
          <w:color w:val="566573"/>
          <w:sz w:val="20"/>
          <w:szCs w:val="20"/>
        </w:rPr>
        <w:t xml:space="preserve">	16</w:t>
      </w:r>
    </w:p>
    <w:p>
      <w:pPr>
        <w:tabs>
          <w:tab w:val="right" w:pos="9200"/>
        </w:tabs>
        <w:spacing w:before="30" w:after="30"/>
      </w:pPr>
      <w:r>
        <w:rPr>
          <w:rFonts w:ascii="Arial" w:cs="Arial" w:eastAsia="Arial" w:hAnsi="Arial"/>
          <w:color w:val="2C3E50"/>
          <w:sz w:val="20"/>
          <w:szCs w:val="20"/>
        </w:rPr>
        <w:t xml:space="preserve">   10.2 Limitations</w:t>
      </w:r>
      <w:r>
        <w:rPr>
          <w:rFonts w:ascii="Arial" w:cs="Arial" w:eastAsia="Arial" w:hAnsi="Arial"/>
          <w:color w:val="566573"/>
          <w:sz w:val="20"/>
          <w:szCs w:val="20"/>
        </w:rPr>
        <w:t xml:space="preserve">	16</w:t>
      </w:r>
    </w:p>
    <w:p>
      <w:pPr>
        <w:tabs>
          <w:tab w:val="right" w:pos="9200"/>
        </w:tabs>
        <w:spacing w:before="30" w:after="30"/>
      </w:pPr>
      <w:r>
        <w:rPr>
          <w:rFonts w:ascii="Arial" w:cs="Arial" w:eastAsia="Arial" w:hAnsi="Arial"/>
          <w:color w:val="2C3E50"/>
          <w:sz w:val="20"/>
          <w:szCs w:val="20"/>
        </w:rPr>
        <w:t xml:space="preserve">   10.3 Future Enhancements</w:t>
      </w:r>
      <w:r>
        <w:rPr>
          <w:rFonts w:ascii="Arial" w:cs="Arial" w:eastAsia="Arial" w:hAnsi="Arial"/>
          <w:color w:val="566573"/>
          <w:sz w:val="20"/>
          <w:szCs w:val="20"/>
        </w:rPr>
        <w:t xml:space="preserve">	16</w:t>
      </w:r>
    </w:p>
    <w:p>
      <w:pPr>
        <w:tabs>
          <w:tab w:val="right" w:pos="9200"/>
        </w:tabs>
        <w:spacing w:before="30" w:after="30"/>
      </w:pPr>
      <w:r>
        <w:rPr>
          <w:rFonts w:ascii="Arial" w:cs="Arial" w:eastAsia="Arial" w:hAnsi="Arial"/>
          <w:color w:val="2C3E50"/>
          <w:sz w:val="20"/>
          <w:szCs w:val="20"/>
        </w:rPr>
        <w:t xml:space="preserve">Appendix A: Technical Specifications</w:t>
      </w:r>
      <w:r>
        <w:rPr>
          <w:rFonts w:ascii="Arial" w:cs="Arial" w:eastAsia="Arial" w:hAnsi="Arial"/>
          <w:color w:val="566573"/>
          <w:sz w:val="20"/>
          <w:szCs w:val="20"/>
        </w:rPr>
        <w:t xml:space="preserve">	18</w:t>
      </w:r>
    </w:p>
    <w:p>
      <w:pPr>
        <w:tabs>
          <w:tab w:val="right" w:pos="9200"/>
        </w:tabs>
        <w:spacing w:before="30" w:after="30"/>
      </w:pPr>
      <w:r>
        <w:rPr>
          <w:rFonts w:ascii="Arial" w:cs="Arial" w:eastAsia="Arial" w:hAnsi="Arial"/>
          <w:color w:val="2C3E50"/>
          <w:sz w:val="20"/>
          <w:szCs w:val="20"/>
        </w:rPr>
        <w:t xml:space="preserve">   Model Hyperparameters</w:t>
      </w:r>
      <w:r>
        <w:rPr>
          <w:rFonts w:ascii="Arial" w:cs="Arial" w:eastAsia="Arial" w:hAnsi="Arial"/>
          <w:color w:val="566573"/>
          <w:sz w:val="20"/>
          <w:szCs w:val="20"/>
        </w:rPr>
        <w:t xml:space="preserve">	18</w:t>
      </w:r>
    </w:p>
    <w:p>
      <w:pPr>
        <w:tabs>
          <w:tab w:val="right" w:pos="9200"/>
        </w:tabs>
        <w:spacing w:before="30" w:after="30"/>
      </w:pPr>
      <w:r>
        <w:rPr>
          <w:rFonts w:ascii="Arial" w:cs="Arial" w:eastAsia="Arial" w:hAnsi="Arial"/>
          <w:color w:val="2C3E50"/>
          <w:sz w:val="20"/>
          <w:szCs w:val="20"/>
        </w:rPr>
        <w:t xml:space="preserve">   Tech Stack</w:t>
      </w:r>
      <w:r>
        <w:rPr>
          <w:rFonts w:ascii="Arial" w:cs="Arial" w:eastAsia="Arial" w:hAnsi="Arial"/>
          <w:color w:val="566573"/>
          <w:sz w:val="20"/>
          <w:szCs w:val="20"/>
        </w:rPr>
        <w:t xml:space="preserve">	18</w:t>
      </w:r>
    </w:p>
    <w:p>
      <w:pPr>
        <w:tabs>
          <w:tab w:val="right" w:pos="9200"/>
        </w:tabs>
        <w:spacing w:before="30" w:after="30"/>
      </w:pPr>
      <w:r>
        <w:rPr>
          <w:rFonts w:ascii="Arial" w:cs="Arial" w:eastAsia="Arial" w:hAnsi="Arial"/>
          <w:color w:val="2C3E50"/>
          <w:sz w:val="20"/>
          <w:szCs w:val="20"/>
        </w:rPr>
        <w:t xml:space="preserve">Appendix B: Dataset Feature Glossary</w:t>
      </w:r>
      <w:r>
        <w:rPr>
          <w:rFonts w:ascii="Arial" w:cs="Arial" w:eastAsia="Arial" w:hAnsi="Arial"/>
          <w:color w:val="566573"/>
          <w:sz w:val="20"/>
          <w:szCs w:val="20"/>
        </w:rPr>
        <w:t xml:space="preserve">	19</w:t>
      </w:r>
    </w:p>
    <w:p>
      <w:r>
        <w:br w:type="page"/>
      </w:r>
    </w:p>
    <w:p>
      <w:pPr>
        <w:pStyle w:val="Heading1"/>
        <w:spacing w:before="340" w:after="80"/>
      </w:pPr>
      <w:r>
        <w:rPr>
          <w:rFonts w:ascii="Arial" w:cs="Arial" w:eastAsia="Arial" w:hAnsi="Arial"/>
          <w:b/>
          <w:bCs/>
          <w:color w:val="1A5276"/>
          <w:sz w:val="30"/>
          <w:szCs w:val="30"/>
        </w:rPr>
        <w:t xml:space="preserve">Executive Summary</w:t>
      </w:r>
    </w:p>
    <w:p>
      <w:pPr>
        <w:pBdr>
          <w:bottom w:val="single" w:color="2E86C1" w:sz="6" w:space="1"/>
        </w:pBdr>
        <w:spacing w:before="160" w:after="0"/>
      </w:pPr>
    </w:p>
    <w:p>
      <w:pPr>
        <w:spacing w:before="80" w:after="0"/>
      </w:pPr>
    </w:p>
    <w:p>
      <w:pPr>
        <w:spacing w:before="60" w:after="60"/>
      </w:pPr>
      <w:r>
        <w:rPr>
          <w:rFonts w:ascii="Arial" w:cs="Arial" w:eastAsia="Arial" w:hAnsi="Arial"/>
          <w:color w:val="2C3E50"/>
          <w:sz w:val="22"/>
          <w:szCs w:val="22"/>
        </w:rPr>
        <w:t xml:space="preserve">Nexus Logistics AI is an end-to-end supply chain intelligence platform that predicts shipment delay risk in real time and recommends optimal rerouting strategies during disruptions. Built on 52,034 shipment records spanning 10 global ports, 30 carriers, and three transport modes (Sea, Rail, Truck), the system combines a tuned HistGradientBoosting model with LP-based route optimization, SHAP-style explainability, and a LangGraph-powered LLM reasoning agent — all surfaced through a 7-tab dark-themed Streamlit dashboard.</w:t>
      </w:r>
    </w:p>
    <w:p>
      <w:pPr>
        <w:spacing w:before="80" w:after="0"/>
      </w:pPr>
    </w:p>
    <w:p>
      <w:pPr>
        <w:pStyle w:val="Heading2"/>
        <w:spacing w:before="240" w:after="60"/>
      </w:pPr>
      <w:r>
        <w:rPr>
          <w:rFonts w:ascii="Arial" w:cs="Arial" w:eastAsia="Arial" w:hAnsi="Arial"/>
          <w:b/>
          <w:bCs/>
          <w:color w:val="148F77"/>
          <w:sz w:val="24"/>
          <w:szCs w:val="24"/>
        </w:rPr>
        <w:t xml:space="preserve">Key Achievements</w:t>
      </w:r>
    </w:p>
    <w:p>
      <w:pPr>
        <w:pStyle w:val="ListParagraph"/>
        <w:numPr>
          <w:ilvl w:val="0"/>
          <w:numId w:val="2"/>
        </w:numPr>
        <w:spacing w:before="40" w:after="40"/>
      </w:pPr>
      <w:r>
        <w:rPr>
          <w:rFonts w:ascii="Arial" w:cs="Arial" w:eastAsia="Arial" w:hAnsi="Arial"/>
          <w:b/>
          <w:bCs/>
          <w:color w:val="1B2631"/>
          <w:sz w:val="22"/>
          <w:szCs w:val="22"/>
        </w:rPr>
        <w:t xml:space="preserve">87+ engineered features </w:t>
      </w:r>
      <w:r>
        <w:rPr>
          <w:rFonts w:ascii="Arial" w:cs="Arial" w:eastAsia="Arial" w:hAnsi="Arial"/>
          <w:color w:val="2C3E50"/>
          <w:sz w:val="22"/>
          <w:szCs w:val="22"/>
        </w:rPr>
        <w:t xml:space="preserve">across 7 categories — congestion, weather, risk, temporal, geospatial, anomaly, and historical lag signals.</w:t>
      </w:r>
    </w:p>
    <w:p>
      <w:pPr>
        <w:pStyle w:val="ListParagraph"/>
        <w:numPr>
          <w:ilvl w:val="0"/>
          <w:numId w:val="2"/>
        </w:numPr>
        <w:spacing w:before="40" w:after="40"/>
      </w:pPr>
      <w:r>
        <w:rPr>
          <w:rFonts w:ascii="Arial" w:cs="Arial" w:eastAsia="Arial" w:hAnsi="Arial"/>
          <w:b/>
          <w:bCs/>
          <w:color w:val="1B2631"/>
          <w:sz w:val="22"/>
          <w:szCs w:val="22"/>
        </w:rPr>
        <w:t xml:space="preserve">AUC-ROC of 0.7730 </w:t>
      </w:r>
      <w:r>
        <w:rPr>
          <w:rFonts w:ascii="Arial" w:cs="Arial" w:eastAsia="Arial" w:hAnsi="Arial"/>
          <w:color w:val="2C3E50"/>
          <w:sz w:val="22"/>
          <w:szCs w:val="22"/>
        </w:rPr>
        <w:t xml:space="preserve">and 75.4% overall accuracy on a strict chronological holdout (80/20 split).</w:t>
      </w:r>
    </w:p>
    <w:p>
      <w:pPr>
        <w:pStyle w:val="ListParagraph"/>
        <w:numPr>
          <w:ilvl w:val="0"/>
          <w:numId w:val="2"/>
        </w:numPr>
        <w:spacing w:before="40" w:after="40"/>
      </w:pPr>
      <w:r>
        <w:rPr>
          <w:rFonts w:ascii="Arial" w:cs="Arial" w:eastAsia="Arial" w:hAnsi="Arial"/>
          <w:b/>
          <w:bCs/>
          <w:color w:val="1B2631"/>
          <w:sz w:val="22"/>
          <w:szCs w:val="22"/>
        </w:rPr>
        <w:t xml:space="preserve">99% precision on delayed shipments </w:t>
      </w:r>
      <w:r>
        <w:rPr>
          <w:rFonts w:ascii="Arial" w:cs="Arial" w:eastAsia="Arial" w:hAnsi="Arial"/>
          <w:color w:val="2C3E50"/>
          <w:sz w:val="22"/>
          <w:szCs w:val="22"/>
        </w:rPr>
        <w:t xml:space="preserve">— critical for minimising false negatives in a rerouting context.</w:t>
      </w:r>
    </w:p>
    <w:p>
      <w:pPr>
        <w:pStyle w:val="ListParagraph"/>
        <w:numPr>
          <w:ilvl w:val="0"/>
          <w:numId w:val="2"/>
        </w:numPr>
        <w:spacing w:before="40" w:after="40"/>
      </w:pPr>
      <w:r>
        <w:rPr>
          <w:rFonts w:ascii="Arial" w:cs="Arial" w:eastAsia="Arial" w:hAnsi="Arial"/>
          <w:b/>
          <w:bCs/>
          <w:color w:val="1B2631"/>
          <w:sz w:val="22"/>
          <w:szCs w:val="22"/>
        </w:rPr>
        <w:t xml:space="preserve">LP-based rerouting optimizer </w:t>
      </w:r>
      <w:r>
        <w:rPr>
          <w:rFonts w:ascii="Arial" w:cs="Arial" w:eastAsia="Arial" w:hAnsi="Arial"/>
          <w:color w:val="2C3E50"/>
          <w:sz w:val="22"/>
          <w:szCs w:val="22"/>
        </w:rPr>
        <w:t xml:space="preserve">using scipy.optimize.linprog, comparing Normal, Strike Alert, and Port Closure scenarios across up to 20 route candidates.</w:t>
      </w:r>
    </w:p>
    <w:p>
      <w:pPr>
        <w:pStyle w:val="ListParagraph"/>
        <w:numPr>
          <w:ilvl w:val="0"/>
          <w:numId w:val="2"/>
        </w:numPr>
        <w:spacing w:before="40" w:after="40"/>
      </w:pPr>
      <w:r>
        <w:rPr>
          <w:rFonts w:ascii="Arial" w:cs="Arial" w:eastAsia="Arial" w:hAnsi="Arial"/>
          <w:b/>
          <w:bCs/>
          <w:color w:val="1B2631"/>
          <w:sz w:val="22"/>
          <w:szCs w:val="22"/>
        </w:rPr>
        <w:t xml:space="preserve">LangGraph 3-node pipeline </w:t>
      </w:r>
      <w:r>
        <w:rPr>
          <w:rFonts w:ascii="Arial" w:cs="Arial" w:eastAsia="Arial" w:hAnsi="Arial"/>
          <w:color w:val="2C3E50"/>
          <w:sz w:val="22"/>
          <w:szCs w:val="22"/>
        </w:rPr>
        <w:t xml:space="preserve">(Port Risk → Route History → LLM Reroute) powered by Groq's Llama-3.3-70b-versatile, delivering natural-language rerouting reasoning per shipment.</w:t>
      </w:r>
    </w:p>
    <w:p>
      <w:pPr>
        <w:pStyle w:val="ListParagraph"/>
        <w:numPr>
          <w:ilvl w:val="0"/>
          <w:numId w:val="2"/>
        </w:numPr>
        <w:spacing w:before="40" w:after="40"/>
      </w:pPr>
      <w:r>
        <w:rPr>
          <w:rFonts w:ascii="Arial" w:cs="Arial" w:eastAsia="Arial" w:hAnsi="Arial"/>
          <w:b/>
          <w:bCs/>
          <w:color w:val="1B2631"/>
          <w:sz w:val="22"/>
          <w:szCs w:val="22"/>
        </w:rPr>
        <w:t xml:space="preserve">Isolation Forest anomaly detection </w:t>
      </w:r>
      <w:r>
        <w:rPr>
          <w:rFonts w:ascii="Arial" w:cs="Arial" w:eastAsia="Arial" w:hAnsi="Arial"/>
          <w:color w:val="2C3E50"/>
          <w:sz w:val="22"/>
          <w:szCs w:val="22"/>
        </w:rPr>
        <w:t xml:space="preserve">flagging ~5% of shipments with significantly elevated delay rates.</w:t>
      </w:r>
    </w:p>
    <w:p>
      <w:pPr>
        <w:spacing w:before="60" w:after="0"/>
      </w:pPr>
    </w:p>
    <w:p>
      <w:pPr>
        <w:pStyle w:val="Heading2"/>
        <w:spacing w:before="240" w:after="60"/>
      </w:pPr>
      <w:r>
        <w:rPr>
          <w:rFonts w:ascii="Arial" w:cs="Arial" w:eastAsia="Arial" w:hAnsi="Arial"/>
          <w:b/>
          <w:bCs/>
          <w:color w:val="148F77"/>
          <w:sz w:val="24"/>
          <w:szCs w:val="24"/>
        </w:rPr>
        <w:t xml:space="preserve">Business Impact</w:t>
      </w:r>
    </w:p>
    <w:p>
      <w:pPr>
        <w:spacing w:before="60" w:after="60"/>
      </w:pPr>
      <w:r>
        <w:rPr>
          <w:rFonts w:ascii="Arial" w:cs="Arial" w:eastAsia="Arial" w:hAnsi="Arial"/>
          <w:color w:val="2C3E50"/>
          <w:sz w:val="22"/>
          <w:szCs w:val="22"/>
        </w:rPr>
        <w:t xml:space="preserve">The platform transforms reactive supply chain decision-making into proactive, explainable, AI-driven action. Operations teams receive per-shipment risk scores, natural-language rerouting justifications, and geospatial visualizations — enabling faster, cost-effective responses to port disruptions, strikes, and extreme weather events.</w:t>
      </w:r>
    </w:p>
    <w:p>
      <w:r>
        <w:br w:type="page"/>
      </w:r>
    </w:p>
    <w:p>
      <w:pPr>
        <w:pStyle w:val="Heading1"/>
        <w:spacing w:before="340" w:after="80"/>
      </w:pPr>
      <w:r>
        <w:rPr>
          <w:rFonts w:ascii="Arial" w:cs="Arial" w:eastAsia="Arial" w:hAnsi="Arial"/>
          <w:b/>
          <w:bCs/>
          <w:color w:val="1A5276"/>
          <w:sz w:val="30"/>
          <w:szCs w:val="30"/>
        </w:rPr>
        <w:t xml:space="preserve">1. Introduction</w:t>
      </w:r>
    </w:p>
    <w:p>
      <w:pPr>
        <w:pBdr>
          <w:bottom w:val="single" w:color="2E86C1" w:sz="6" w:space="1"/>
        </w:pBdr>
        <w:spacing w:before="160" w:after="0"/>
      </w:pPr>
    </w:p>
    <w:p>
      <w:pPr>
        <w:spacing w:before="60" w:after="0"/>
      </w:pPr>
    </w:p>
    <w:p>
      <w:pPr>
        <w:pStyle w:val="Heading2"/>
        <w:spacing w:before="240" w:after="60"/>
      </w:pPr>
      <w:r>
        <w:rPr>
          <w:rFonts w:ascii="Arial" w:cs="Arial" w:eastAsia="Arial" w:hAnsi="Arial"/>
          <w:b/>
          <w:bCs/>
          <w:color w:val="148F77"/>
          <w:sz w:val="24"/>
          <w:szCs w:val="24"/>
        </w:rPr>
        <w:t xml:space="preserve">1.1 Problem Statement</w:t>
      </w:r>
    </w:p>
    <w:p>
      <w:pPr>
        <w:spacing w:before="60" w:after="60"/>
      </w:pPr>
      <w:r>
        <w:rPr>
          <w:rFonts w:ascii="Arial" w:cs="Arial" w:eastAsia="Arial" w:hAnsi="Arial"/>
          <w:color w:val="2C3E50"/>
          <w:sz w:val="22"/>
          <w:szCs w:val="22"/>
        </w:rPr>
        <w:t xml:space="preserve">Global supply chains face compounding disruptions — port backlogs, labor strikes, extreme weather, and geopolitical shocks — that erode delivery reliability and inflate operational costs. Current tools react after delays occur, relying on siloed metrics and manual analyst judgment, with no systematic way to predict risk mid-voyage or generate explainable rerouting alternatives.</w:t>
      </w:r>
    </w:p>
    <w:p>
      <w:pPr>
        <w:spacing w:before="60" w:after="0"/>
      </w:pPr>
    </w:p>
    <w:p>
      <w:pPr>
        <w:pStyle w:val="Heading2"/>
        <w:spacing w:before="240" w:after="60"/>
      </w:pPr>
      <w:r>
        <w:rPr>
          <w:rFonts w:ascii="Arial" w:cs="Arial" w:eastAsia="Arial" w:hAnsi="Arial"/>
          <w:b/>
          <w:bCs/>
          <w:color w:val="148F77"/>
          <w:sz w:val="24"/>
          <w:szCs w:val="24"/>
        </w:rPr>
        <w:t xml:space="preserve">1.2 Project Objectives</w:t>
      </w:r>
    </w:p>
    <w:p>
      <w:pPr>
        <w:pStyle w:val="ListParagraph"/>
        <w:numPr>
          <w:ilvl w:val="0"/>
          <w:numId w:val="2"/>
        </w:numPr>
        <w:spacing w:before="40" w:after="40"/>
      </w:pPr>
      <w:r>
        <w:rPr>
          <w:rFonts w:ascii="Arial" w:cs="Arial" w:eastAsia="Arial" w:hAnsi="Arial"/>
          <w:b/>
          <w:bCs/>
          <w:color w:val="1B2631"/>
          <w:sz w:val="22"/>
          <w:szCs w:val="22"/>
        </w:rPr>
        <w:t xml:space="preserve">Predict delay risk </w:t>
      </w:r>
      <w:r>
        <w:rPr>
          <w:rFonts w:ascii="Arial" w:cs="Arial" w:eastAsia="Arial" w:hAnsi="Arial"/>
          <w:color w:val="2C3E50"/>
          <w:sz w:val="22"/>
          <w:szCs w:val="22"/>
        </w:rPr>
        <w:t xml:space="preserve">mid-voyage using AIS/EDI-aligned tracking signals with an 8-hour update window.</w:t>
      </w:r>
    </w:p>
    <w:p>
      <w:pPr>
        <w:pStyle w:val="ListParagraph"/>
        <w:numPr>
          <w:ilvl w:val="0"/>
          <w:numId w:val="2"/>
        </w:numPr>
        <w:spacing w:before="40" w:after="40"/>
      </w:pPr>
      <w:r>
        <w:rPr>
          <w:rFonts w:ascii="Arial" w:cs="Arial" w:eastAsia="Arial" w:hAnsi="Arial"/>
          <w:b/>
          <w:bCs/>
          <w:color w:val="1B2631"/>
          <w:sz w:val="22"/>
          <w:szCs w:val="22"/>
        </w:rPr>
        <w:t xml:space="preserve">Identify drivers </w:t>
      </w:r>
      <w:r>
        <w:rPr>
          <w:rFonts w:ascii="Arial" w:cs="Arial" w:eastAsia="Arial" w:hAnsi="Arial"/>
          <w:color w:val="2C3E50"/>
          <w:sz w:val="22"/>
          <w:szCs w:val="22"/>
        </w:rPr>
        <w:t xml:space="preserve">of disruption per shipment through a model-agnostic explainability framework.</w:t>
      </w:r>
    </w:p>
    <w:p>
      <w:pPr>
        <w:pStyle w:val="ListParagraph"/>
        <w:numPr>
          <w:ilvl w:val="0"/>
          <w:numId w:val="2"/>
        </w:numPr>
        <w:spacing w:before="40" w:after="40"/>
      </w:pPr>
      <w:r>
        <w:rPr>
          <w:rFonts w:ascii="Arial" w:cs="Arial" w:eastAsia="Arial" w:hAnsi="Arial"/>
          <w:b/>
          <w:bCs/>
          <w:color w:val="1B2631"/>
          <w:sz w:val="22"/>
          <w:szCs w:val="22"/>
        </w:rPr>
        <w:t xml:space="preserve">Optimize alternate routes </w:t>
      </w:r>
      <w:r>
        <w:rPr>
          <w:rFonts w:ascii="Arial" w:cs="Arial" w:eastAsia="Arial" w:hAnsi="Arial"/>
          <w:color w:val="2C3E50"/>
          <w:sz w:val="22"/>
          <w:szCs w:val="22"/>
        </w:rPr>
        <w:t xml:space="preserve">under disruption constraints using linear programming.</w:t>
      </w:r>
    </w:p>
    <w:p>
      <w:pPr>
        <w:pStyle w:val="ListParagraph"/>
        <w:numPr>
          <w:ilvl w:val="0"/>
          <w:numId w:val="2"/>
        </w:numPr>
        <w:spacing w:before="40" w:after="40"/>
      </w:pPr>
      <w:r>
        <w:rPr>
          <w:rFonts w:ascii="Arial" w:cs="Arial" w:eastAsia="Arial" w:hAnsi="Arial"/>
          <w:b/>
          <w:bCs/>
          <w:color w:val="1B2631"/>
          <w:sz w:val="22"/>
          <w:szCs w:val="22"/>
        </w:rPr>
        <w:t xml:space="preserve">Generate natural-language reasoning </w:t>
      </w:r>
      <w:r>
        <w:rPr>
          <w:rFonts w:ascii="Arial" w:cs="Arial" w:eastAsia="Arial" w:hAnsi="Arial"/>
          <w:color w:val="2C3E50"/>
          <w:sz w:val="22"/>
          <w:szCs w:val="22"/>
        </w:rPr>
        <w:t xml:space="preserve">for each rerouting decision via a LangGraph LLM agent.</w:t>
      </w:r>
    </w:p>
    <w:p>
      <w:pPr>
        <w:pStyle w:val="ListParagraph"/>
        <w:numPr>
          <w:ilvl w:val="0"/>
          <w:numId w:val="2"/>
        </w:numPr>
        <w:spacing w:before="40" w:after="40"/>
      </w:pPr>
      <w:r>
        <w:rPr>
          <w:rFonts w:ascii="Arial" w:cs="Arial" w:eastAsia="Arial" w:hAnsi="Arial"/>
          <w:b/>
          <w:bCs/>
          <w:color w:val="1B2631"/>
          <w:sz w:val="22"/>
          <w:szCs w:val="22"/>
        </w:rPr>
        <w:t xml:space="preserve">Surface all insights </w:t>
      </w:r>
      <w:r>
        <w:rPr>
          <w:rFonts w:ascii="Arial" w:cs="Arial" w:eastAsia="Arial" w:hAnsi="Arial"/>
          <w:color w:val="2C3E50"/>
          <w:sz w:val="22"/>
          <w:szCs w:val="22"/>
        </w:rPr>
        <w:t xml:space="preserve">in an interactive Streamlit dashboard accessible to non-technical supply chain teams.</w:t>
      </w:r>
    </w:p>
    <w:p>
      <w:pPr>
        <w:spacing w:before="60" w:after="0"/>
      </w:pPr>
    </w:p>
    <w:p>
      <w:pPr>
        <w:pStyle w:val="Heading2"/>
        <w:spacing w:before="240" w:after="60"/>
      </w:pPr>
      <w:r>
        <w:rPr>
          <w:rFonts w:ascii="Arial" w:cs="Arial" w:eastAsia="Arial" w:hAnsi="Arial"/>
          <w:b/>
          <w:bCs/>
          <w:color w:val="148F77"/>
          <w:sz w:val="24"/>
          <w:szCs w:val="24"/>
        </w:rPr>
        <w:t xml:space="preserve">1.3 Scope</w:t>
      </w:r>
    </w:p>
    <w:p>
      <w:pPr>
        <w:spacing w:before="60" w:after="60"/>
      </w:pPr>
      <w:r>
        <w:rPr>
          <w:rFonts w:ascii="Arial" w:cs="Arial" w:eastAsia="Arial" w:hAnsi="Arial"/>
          <w:color w:val="2C3E50"/>
          <w:sz w:val="22"/>
          <w:szCs w:val="22"/>
        </w:rPr>
        <w:t xml:space="preserve">The project analyzes 52,034 shipment records across 10 major global ports (Colombo, Rotterdam, Dubai, Shanghai, Singapore, Felixstowe, Hamburg, Los Angeles, Busan, Mumbai) over a 24-month window (January 2024 – December 2025). Three transport modes are covered — Sea (65%), Rail (20%), and Truck (15%). The scope spans model development, hyperparameter tuning, explainability integration, LP route optimization, LLM agent deployment, and production-ready dashboard construction.</w:t>
      </w:r>
    </w:p>
    <w:p>
      <w:r>
        <w:br w:type="page"/>
      </w:r>
    </w:p>
    <w:p>
      <w:pPr>
        <w:pStyle w:val="Heading1"/>
        <w:spacing w:before="340" w:after="80"/>
      </w:pPr>
      <w:r>
        <w:rPr>
          <w:rFonts w:ascii="Arial" w:cs="Arial" w:eastAsia="Arial" w:hAnsi="Arial"/>
          <w:b/>
          <w:bCs/>
          <w:color w:val="1A5276"/>
          <w:sz w:val="30"/>
          <w:szCs w:val="30"/>
        </w:rPr>
        <w:t xml:space="preserve">2. Methodology</w:t>
      </w:r>
    </w:p>
    <w:p>
      <w:pPr>
        <w:pBdr>
          <w:bottom w:val="single" w:color="2E86C1" w:sz="6" w:space="1"/>
        </w:pBdr>
        <w:spacing w:before="160" w:after="0"/>
      </w:pPr>
    </w:p>
    <w:p>
      <w:pPr>
        <w:spacing w:before="60" w:after="0"/>
      </w:pPr>
    </w:p>
    <w:p>
      <w:pPr>
        <w:pStyle w:val="Heading2"/>
        <w:spacing w:before="240" w:after="60"/>
      </w:pPr>
      <w:r>
        <w:rPr>
          <w:rFonts w:ascii="Arial" w:cs="Arial" w:eastAsia="Arial" w:hAnsi="Arial"/>
          <w:b/>
          <w:bCs/>
          <w:color w:val="148F77"/>
          <w:sz w:val="24"/>
          <w:szCs w:val="24"/>
        </w:rPr>
        <w:t xml:space="preserve">2.1 Dataset Overview</w:t>
      </w:r>
    </w:p>
    <w:p>
      <w:pPr>
        <w:spacing w:before="60" w:after="60"/>
      </w:pPr>
      <w:r>
        <w:rPr>
          <w:rFonts w:ascii="Arial" w:cs="Arial" w:eastAsia="Arial" w:hAnsi="Arial"/>
          <w:color w:val="2C3E50"/>
          <w:sz w:val="22"/>
          <w:szCs w:val="22"/>
        </w:rPr>
        <w:t xml:space="preserve">The logistics disruption dataset captures shipment-level telemetry for each voyage leg, combining operational, environmental, and geopolitical signals:</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D5D8DC" w:sz="4"/>
              <w:left w:val="single" w:color="D5D8DC" w:sz="4"/>
              <w:bottom w:val="single" w:color="D5D8DC" w:sz="4"/>
              <w:right w:val="single" w:color="D5D8DC" w:sz="4"/>
            </w:tcBorders>
            <w:shd w:fill="1A527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Attribute</w:t>
            </w:r>
          </w:p>
        </w:tc>
        <w:tc>
          <w:tcPr>
            <w:tcW w:type="dxa" w:w="5960"/>
            <w:tcBorders>
              <w:top w:val="single" w:color="D5D8DC" w:sz="4"/>
              <w:left w:val="single" w:color="D5D8DC" w:sz="4"/>
              <w:bottom w:val="single" w:color="D5D8DC" w:sz="4"/>
              <w:right w:val="single" w:color="D5D8DC" w:sz="4"/>
            </w:tcBorders>
            <w:shd w:fill="1A527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Detail</w:t>
            </w:r>
          </w:p>
        </w:tc>
      </w:tr>
      <w:tr>
        <w:tc>
          <w:tcPr>
            <w:tcW w:type="dxa" w:w="3400"/>
            <w:tcBorders>
              <w:top w:val="single" w:color="D5D8DC" w:sz="4"/>
              <w:left w:val="single" w:color="D5D8DC" w:sz="4"/>
              <w:bottom w:val="single" w:color="D5D8DC" w:sz="4"/>
              <w:right w:val="single" w:color="D5D8DC" w:sz="4"/>
            </w:tcBorders>
            <w:shd w:fill="FDFEFE"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Total Records</w:t>
            </w:r>
          </w:p>
        </w:tc>
        <w:tc>
          <w:tcPr>
            <w:tcW w:type="dxa" w:w="5960"/>
            <w:tcBorders>
              <w:top w:val="single" w:color="D5D8DC" w:sz="4"/>
              <w:left w:val="single" w:color="D5D8DC" w:sz="4"/>
              <w:bottom w:val="single" w:color="D5D8DC" w:sz="4"/>
              <w:right w:val="single" w:color="D5D8DC" w:sz="4"/>
            </w:tcBorders>
            <w:shd w:fill="FDFEFE"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52,034 shipment observations</w:t>
            </w:r>
          </w:p>
        </w:tc>
      </w:tr>
      <w:tr>
        <w:tc>
          <w:tcPr>
            <w:tcW w:type="dxa" w:w="34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Date Range</w:t>
            </w:r>
          </w:p>
        </w:tc>
        <w:tc>
          <w:tcPr>
            <w:tcW w:type="dxa" w:w="596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January 2024 – December 2025</w:t>
            </w:r>
          </w:p>
        </w:tc>
      </w:tr>
      <w:tr>
        <w:tc>
          <w:tcPr>
            <w:tcW w:type="dxa" w:w="3400"/>
            <w:tcBorders>
              <w:top w:val="single" w:color="D5D8DC" w:sz="4"/>
              <w:left w:val="single" w:color="D5D8DC" w:sz="4"/>
              <w:bottom w:val="single" w:color="D5D8DC" w:sz="4"/>
              <w:right w:val="single" w:color="D5D8DC" w:sz="4"/>
            </w:tcBorders>
            <w:shd w:fill="FDFEFE"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Origin Ports</w:t>
            </w:r>
          </w:p>
        </w:tc>
        <w:tc>
          <w:tcPr>
            <w:tcW w:type="dxa" w:w="5960"/>
            <w:tcBorders>
              <w:top w:val="single" w:color="D5D8DC" w:sz="4"/>
              <w:left w:val="single" w:color="D5D8DC" w:sz="4"/>
              <w:bottom w:val="single" w:color="D5D8DC" w:sz="4"/>
              <w:right w:val="single" w:color="D5D8DC" w:sz="4"/>
            </w:tcBorders>
            <w:shd w:fill="FDFEFE"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10 (Colombo, Rotterdam, Dubai, Shanghai, Singapore, Felixstowe, Hamburg, Los Angeles, Busan, Mumbai)</w:t>
            </w:r>
          </w:p>
        </w:tc>
      </w:tr>
      <w:tr>
        <w:tc>
          <w:tcPr>
            <w:tcW w:type="dxa" w:w="34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Carriers</w:t>
            </w:r>
          </w:p>
        </w:tc>
        <w:tc>
          <w:tcPr>
            <w:tcW w:type="dxa" w:w="596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30 unique carrier IDs</w:t>
            </w:r>
          </w:p>
        </w:tc>
      </w:tr>
      <w:tr>
        <w:tc>
          <w:tcPr>
            <w:tcW w:type="dxa" w:w="3400"/>
            <w:tcBorders>
              <w:top w:val="single" w:color="D5D8DC" w:sz="4"/>
              <w:left w:val="single" w:color="D5D8DC" w:sz="4"/>
              <w:bottom w:val="single" w:color="D5D8DC" w:sz="4"/>
              <w:right w:val="single" w:color="D5D8DC" w:sz="4"/>
            </w:tcBorders>
            <w:shd w:fill="FDFEFE"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Transport Modes</w:t>
            </w:r>
          </w:p>
        </w:tc>
        <w:tc>
          <w:tcPr>
            <w:tcW w:type="dxa" w:w="5960"/>
            <w:tcBorders>
              <w:top w:val="single" w:color="D5D8DC" w:sz="4"/>
              <w:left w:val="single" w:color="D5D8DC" w:sz="4"/>
              <w:bottom w:val="single" w:color="D5D8DC" w:sz="4"/>
              <w:right w:val="single" w:color="D5D8DC" w:sz="4"/>
            </w:tcBorders>
            <w:shd w:fill="FDFEFE"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Sea (65.1%), Rail (20.2%), Truck (14.7%)</w:t>
            </w:r>
          </w:p>
        </w:tc>
      </w:tr>
      <w:tr>
        <w:tc>
          <w:tcPr>
            <w:tcW w:type="dxa" w:w="34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Overall Delay Rate</w:t>
            </w:r>
          </w:p>
        </w:tc>
        <w:tc>
          <w:tcPr>
            <w:tcW w:type="dxa" w:w="596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57.43% of shipments delayed</w:t>
            </w:r>
          </w:p>
        </w:tc>
      </w:tr>
      <w:tr>
        <w:tc>
          <w:tcPr>
            <w:tcW w:type="dxa" w:w="3400"/>
            <w:tcBorders>
              <w:top w:val="single" w:color="D5D8DC" w:sz="4"/>
              <w:left w:val="single" w:color="D5D8DC" w:sz="4"/>
              <w:bottom w:val="single" w:color="D5D8DC" w:sz="4"/>
              <w:right w:val="single" w:color="D5D8DC" w:sz="4"/>
            </w:tcBorders>
            <w:shd w:fill="FDFEFE"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Average Delay (when delayed)</w:t>
            </w:r>
          </w:p>
        </w:tc>
        <w:tc>
          <w:tcPr>
            <w:tcW w:type="dxa" w:w="5960"/>
            <w:tcBorders>
              <w:top w:val="single" w:color="D5D8DC" w:sz="4"/>
              <w:left w:val="single" w:color="D5D8DC" w:sz="4"/>
              <w:bottom w:val="single" w:color="D5D8DC" w:sz="4"/>
              <w:right w:val="single" w:color="D5D8DC" w:sz="4"/>
            </w:tcBorders>
            <w:shd w:fill="FDFEFE"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360.3 minutes (~6 hours)</w:t>
            </w:r>
          </w:p>
        </w:tc>
      </w:tr>
      <w:tr>
        <w:tc>
          <w:tcPr>
            <w:tcW w:type="dxa" w:w="34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Raw Features</w:t>
            </w:r>
          </w:p>
        </w:tc>
        <w:tc>
          <w:tcPr>
            <w:tcW w:type="dxa" w:w="596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26 (operational, weather, disruption, scheduling)</w:t>
            </w:r>
          </w:p>
        </w:tc>
      </w:tr>
      <w:tr>
        <w:tc>
          <w:tcPr>
            <w:tcW w:type="dxa" w:w="3400"/>
            <w:tcBorders>
              <w:top w:val="single" w:color="D5D8DC" w:sz="4"/>
              <w:left w:val="single" w:color="D5D8DC" w:sz="4"/>
              <w:bottom w:val="single" w:color="D5D8DC" w:sz="4"/>
              <w:right w:val="single" w:color="D5D8DC" w:sz="4"/>
            </w:tcBorders>
            <w:shd w:fill="FDFEFE"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Missing Values</w:t>
            </w:r>
          </w:p>
        </w:tc>
        <w:tc>
          <w:tcPr>
            <w:tcW w:type="dxa" w:w="5960"/>
            <w:tcBorders>
              <w:top w:val="single" w:color="D5D8DC" w:sz="4"/>
              <w:left w:val="single" w:color="D5D8DC" w:sz="4"/>
              <w:bottom w:val="single" w:color="D5D8DC" w:sz="4"/>
              <w:right w:val="single" w:color="D5D8DC" w:sz="4"/>
            </w:tcBorders>
            <w:shd w:fill="FDFEFE"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None — dataset is complete</w:t>
            </w:r>
          </w:p>
        </w:tc>
      </w:tr>
    </w:tbl>
    <w:p>
      <w:pPr>
        <w:spacing w:before="80" w:after="0"/>
      </w:pPr>
    </w:p>
    <w:p>
      <w:pPr>
        <w:pStyle w:val="Heading2"/>
        <w:spacing w:before="240" w:after="60"/>
      </w:pPr>
      <w:r>
        <w:rPr>
          <w:rFonts w:ascii="Arial" w:cs="Arial" w:eastAsia="Arial" w:hAnsi="Arial"/>
          <w:b/>
          <w:bCs/>
          <w:color w:val="148F77"/>
          <w:sz w:val="24"/>
          <w:szCs w:val="24"/>
        </w:rPr>
        <w:t xml:space="preserve">2.2 Machine Learning Architecture</w:t>
      </w:r>
    </w:p>
    <w:p>
      <w:pPr>
        <w:spacing w:before="60" w:after="60"/>
      </w:pPr>
      <w:r>
        <w:rPr>
          <w:rFonts w:ascii="Arial" w:cs="Arial" w:eastAsia="Arial" w:hAnsi="Arial"/>
          <w:color w:val="2C3E50"/>
          <w:sz w:val="22"/>
          <w:szCs w:val="22"/>
        </w:rPr>
        <w:t xml:space="preserve">The system follows a four-phase pipeline aligned with the project task requirements:</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c>
          <w:tcPr>
            <w:tcW w:type="dxa" w:w="1600"/>
            <w:tcBorders>
              <w:top w:val="single" w:color="D5D8DC" w:sz="4"/>
              <w:left w:val="single" w:color="D5D8DC" w:sz="4"/>
              <w:bottom w:val="single" w:color="D5D8DC" w:sz="4"/>
              <w:right w:val="single" w:color="D5D8DC" w:sz="4"/>
            </w:tcBorders>
            <w:shd w:fill="1A527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Phase</w:t>
            </w:r>
          </w:p>
        </w:tc>
        <w:tc>
          <w:tcPr>
            <w:tcW w:type="dxa" w:w="3200"/>
            <w:tcBorders>
              <w:top w:val="single" w:color="D5D8DC" w:sz="4"/>
              <w:left w:val="single" w:color="D5D8DC" w:sz="4"/>
              <w:bottom w:val="single" w:color="D5D8DC" w:sz="4"/>
              <w:right w:val="single" w:color="D5D8DC" w:sz="4"/>
            </w:tcBorders>
            <w:shd w:fill="1A527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Focus</w:t>
            </w:r>
          </w:p>
        </w:tc>
        <w:tc>
          <w:tcPr>
            <w:tcW w:type="dxa" w:w="4560"/>
            <w:tcBorders>
              <w:top w:val="single" w:color="D5D8DC" w:sz="4"/>
              <w:left w:val="single" w:color="D5D8DC" w:sz="4"/>
              <w:bottom w:val="single" w:color="D5D8DC" w:sz="4"/>
              <w:right w:val="single" w:color="D5D8DC" w:sz="4"/>
            </w:tcBorders>
            <w:shd w:fill="1A527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Key Outputs</w:t>
            </w:r>
          </w:p>
        </w:tc>
      </w:tr>
      <w:tr>
        <w:tc>
          <w:tcPr>
            <w:tcW w:type="dxa" w:w="1600"/>
            <w:tcBorders>
              <w:top w:val="single" w:color="D5D8DC" w:sz="4"/>
              <w:left w:val="single" w:color="D5D8DC" w:sz="4"/>
              <w:bottom w:val="single" w:color="D5D8DC" w:sz="4"/>
              <w:right w:val="single" w:color="D5D8DC" w:sz="4"/>
            </w:tcBorders>
            <w:shd w:fill="FDFEFE"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Phase 1</w:t>
            </w:r>
          </w:p>
        </w:tc>
        <w:tc>
          <w:tcPr>
            <w:tcW w:type="dxa" w:w="3200"/>
            <w:tcBorders>
              <w:top w:val="single" w:color="D5D8DC" w:sz="4"/>
              <w:left w:val="single" w:color="D5D8DC" w:sz="4"/>
              <w:bottom w:val="single" w:color="D5D8DC" w:sz="4"/>
              <w:right w:val="single" w:color="D5D8DC" w:sz="4"/>
            </w:tcBorders>
            <w:shd w:fill="FDFEFE"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Discovery &amp; EDA</w:t>
            </w:r>
          </w:p>
        </w:tc>
        <w:tc>
          <w:tcPr>
            <w:tcW w:type="dxa" w:w="4560"/>
            <w:tcBorders>
              <w:top w:val="single" w:color="D5D8DC" w:sz="4"/>
              <w:left w:val="single" w:color="D5D8DC" w:sz="4"/>
              <w:bottom w:val="single" w:color="D5D8DC" w:sz="4"/>
              <w:right w:val="single" w:color="D5D8DC" w:sz="4"/>
            </w:tcBorders>
            <w:shd w:fill="FDFEFE"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Correlation analysis, port-level risk profiling, time-series delay trends</w:t>
            </w:r>
          </w:p>
        </w:tc>
      </w:tr>
      <w:tr>
        <w:tc>
          <w:tcPr>
            <w:tcW w:type="dxa" w:w="16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Phase 2</w:t>
            </w:r>
          </w:p>
        </w:tc>
        <w:tc>
          <w:tcPr>
            <w:tcW w:type="dxa" w:w="32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Feature Engineering &amp; Modeling</w:t>
            </w:r>
          </w:p>
        </w:tc>
        <w:tc>
          <w:tcPr>
            <w:tcW w:type="dxa" w:w="456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87+ features, HGB + RF benchmarking, TimeSeriesSplit CV</w:t>
            </w:r>
          </w:p>
        </w:tc>
      </w:tr>
      <w:tr>
        <w:tc>
          <w:tcPr>
            <w:tcW w:type="dxa" w:w="1600"/>
            <w:tcBorders>
              <w:top w:val="single" w:color="D5D8DC" w:sz="4"/>
              <w:left w:val="single" w:color="D5D8DC" w:sz="4"/>
              <w:bottom w:val="single" w:color="D5D8DC" w:sz="4"/>
              <w:right w:val="single" w:color="D5D8DC" w:sz="4"/>
            </w:tcBorders>
            <w:shd w:fill="FDFEFE"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Phase 3</w:t>
            </w:r>
          </w:p>
        </w:tc>
        <w:tc>
          <w:tcPr>
            <w:tcW w:type="dxa" w:w="3200"/>
            <w:tcBorders>
              <w:top w:val="single" w:color="D5D8DC" w:sz="4"/>
              <w:left w:val="single" w:color="D5D8DC" w:sz="4"/>
              <w:bottom w:val="single" w:color="D5D8DC" w:sz="4"/>
              <w:right w:val="single" w:color="D5D8DC" w:sz="4"/>
            </w:tcBorders>
            <w:shd w:fill="FDFEFE"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Tuning, XAI &amp; LangGraph</w:t>
            </w:r>
          </w:p>
        </w:tc>
        <w:tc>
          <w:tcPr>
            <w:tcW w:type="dxa" w:w="4560"/>
            <w:tcBorders>
              <w:top w:val="single" w:color="D5D8DC" w:sz="4"/>
              <w:left w:val="single" w:color="D5D8DC" w:sz="4"/>
              <w:bottom w:val="single" w:color="D5D8DC" w:sz="4"/>
              <w:right w:val="single" w:color="D5D8DC" w:sz="4"/>
            </w:tcBorders>
            <w:shd w:fill="FDFEFE"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GridSearchCV, permutation importance, LLM rerouting agent</w:t>
            </w:r>
          </w:p>
        </w:tc>
      </w:tr>
      <w:tr>
        <w:tc>
          <w:tcPr>
            <w:tcW w:type="dxa" w:w="16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Phase 4</w:t>
            </w:r>
          </w:p>
        </w:tc>
        <w:tc>
          <w:tcPr>
            <w:tcW w:type="dxa" w:w="32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Reporting &amp; Dashboard</w:t>
            </w:r>
          </w:p>
        </w:tc>
        <w:tc>
          <w:tcPr>
            <w:tcW w:type="dxa" w:w="456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7-tab Streamlit dashboard, LP rerouting, geospatial maps</w:t>
            </w:r>
          </w:p>
        </w:tc>
      </w:tr>
    </w:tbl>
    <w:p>
      <w:r>
        <w:br w:type="page"/>
      </w:r>
    </w:p>
    <w:p>
      <w:pPr>
        <w:pStyle w:val="Heading1"/>
        <w:spacing w:before="340" w:after="80"/>
      </w:pPr>
      <w:r>
        <w:rPr>
          <w:rFonts w:ascii="Arial" w:cs="Arial" w:eastAsia="Arial" w:hAnsi="Arial"/>
          <w:b/>
          <w:bCs/>
          <w:color w:val="1A5276"/>
          <w:sz w:val="30"/>
          <w:szCs w:val="30"/>
        </w:rPr>
        <w:t xml:space="preserve">3. Phase 1 — Discovery &amp; Exploratory Data Analysis</w:t>
      </w:r>
    </w:p>
    <w:p>
      <w:pPr>
        <w:pBdr>
          <w:bottom w:val="single" w:color="2E86C1" w:sz="6" w:space="1"/>
        </w:pBdr>
        <w:spacing w:before="160" w:after="0"/>
      </w:pPr>
    </w:p>
    <w:p>
      <w:pPr>
        <w:spacing w:before="60" w:after="0"/>
      </w:pPr>
    </w:p>
    <w:p>
      <w:pPr>
        <w:spacing w:before="60" w:after="60"/>
      </w:pPr>
      <w:r>
        <w:rPr>
          <w:rFonts w:ascii="Arial" w:cs="Arial" w:eastAsia="Arial" w:hAnsi="Arial"/>
          <w:color w:val="2C3E50"/>
          <w:sz w:val="22"/>
          <w:szCs w:val="22"/>
        </w:rPr>
        <w:t xml:space="preserve">Phase 1 established the analytical foundation by profiling the dataset, quantifying correlations between disruption signals and delay outcomes, and surfacing port-level risk heterogeneity.</w:t>
      </w:r>
    </w:p>
    <w:p>
      <w:pPr>
        <w:spacing w:before="60" w:after="0"/>
      </w:pPr>
    </w:p>
    <w:p>
      <w:pPr>
        <w:pStyle w:val="Heading2"/>
        <w:spacing w:before="240" w:after="60"/>
      </w:pPr>
      <w:r>
        <w:rPr>
          <w:rFonts w:ascii="Arial" w:cs="Arial" w:eastAsia="Arial" w:hAnsi="Arial"/>
          <w:b/>
          <w:bCs/>
          <w:color w:val="148F77"/>
          <w:sz w:val="24"/>
          <w:szCs w:val="24"/>
        </w:rPr>
        <w:t xml:space="preserve">3.1 Data Quality &amp; Cleaning</w:t>
      </w:r>
    </w:p>
    <w:p>
      <w:pPr>
        <w:pStyle w:val="ListParagraph"/>
        <w:numPr>
          <w:ilvl w:val="0"/>
          <w:numId w:val="2"/>
        </w:numPr>
        <w:spacing w:before="40" w:after="40"/>
      </w:pPr>
      <w:r>
        <w:rPr>
          <w:rFonts w:ascii="Arial" w:cs="Arial" w:eastAsia="Arial" w:hAnsi="Arial"/>
          <w:b/>
          <w:bCs/>
          <w:color w:val="1B2631"/>
          <w:sz w:val="22"/>
          <w:szCs w:val="22"/>
        </w:rPr>
        <w:t xml:space="preserve">Zero missing values or duplicate records </w:t>
      </w:r>
      <w:r>
        <w:rPr>
          <w:rFonts w:ascii="Arial" w:cs="Arial" w:eastAsia="Arial" w:hAnsi="Arial"/>
          <w:color w:val="2C3E50"/>
          <w:sz w:val="22"/>
          <w:szCs w:val="22"/>
        </w:rPr>
        <w:t xml:space="preserve">— no imputation required; data was analysis-ready after type casting.</w:t>
      </w:r>
    </w:p>
    <w:p>
      <w:pPr>
        <w:pStyle w:val="ListParagraph"/>
        <w:numPr>
          <w:ilvl w:val="0"/>
          <w:numId w:val="2"/>
        </w:numPr>
        <w:spacing w:before="40" w:after="40"/>
      </w:pPr>
      <w:r>
        <w:rPr>
          <w:rFonts w:ascii="Arial" w:cs="Arial" w:eastAsia="Arial" w:hAnsi="Arial"/>
          <w:b/>
          <w:bCs/>
          <w:color w:val="1B2631"/>
          <w:sz w:val="22"/>
          <w:szCs w:val="22"/>
        </w:rPr>
        <w:t xml:space="preserve">Timestamp parsing </w:t>
      </w:r>
      <w:r>
        <w:rPr>
          <w:rFonts w:ascii="Arial" w:cs="Arial" w:eastAsia="Arial" w:hAnsi="Arial"/>
          <w:color w:val="2C3E50"/>
          <w:sz w:val="22"/>
          <w:szCs w:val="22"/>
        </w:rPr>
        <w:t xml:space="preserve">and chronological sorting ensured temporal integrity for all downstream lag engineering.</w:t>
      </w:r>
    </w:p>
    <w:p>
      <w:pPr>
        <w:pStyle w:val="ListParagraph"/>
        <w:numPr>
          <w:ilvl w:val="0"/>
          <w:numId w:val="2"/>
        </w:numPr>
        <w:spacing w:before="40" w:after="40"/>
      </w:pPr>
      <w:r>
        <w:rPr>
          <w:rFonts w:ascii="Arial" w:cs="Arial" w:eastAsia="Arial" w:hAnsi="Arial"/>
          <w:b/>
          <w:bCs/>
          <w:color w:val="1B2631"/>
          <w:sz w:val="22"/>
          <w:szCs w:val="22"/>
        </w:rPr>
        <w:t xml:space="preserve">Boolean target normalisation: </w:t>
      </w:r>
      <w:r>
        <w:rPr>
          <w:rFonts w:ascii="Arial" w:cs="Arial" w:eastAsia="Arial" w:hAnsi="Arial"/>
          <w:color w:val="2C3E50"/>
          <w:sz w:val="22"/>
          <w:szCs w:val="22"/>
        </w:rPr>
        <w:t xml:space="preserve">is_delayed was cast to integer (1/0) to support probability calibration.</w:t>
      </w:r>
    </w:p>
    <w:p>
      <w:pPr>
        <w:pStyle w:val="ListParagraph"/>
        <w:numPr>
          <w:ilvl w:val="0"/>
          <w:numId w:val="2"/>
        </w:numPr>
        <w:spacing w:before="40" w:after="40"/>
      </w:pPr>
      <w:r>
        <w:rPr>
          <w:rFonts w:ascii="Arial" w:cs="Arial" w:eastAsia="Arial" w:hAnsi="Arial"/>
          <w:b/>
          <w:bCs/>
          <w:color w:val="1B2631"/>
          <w:sz w:val="22"/>
          <w:szCs w:val="22"/>
        </w:rPr>
        <w:t xml:space="preserve">Disruption signal standardisation: </w:t>
      </w:r>
      <w:r>
        <w:rPr>
          <w:rFonts w:ascii="Arial" w:cs="Arial" w:eastAsia="Arial" w:hAnsi="Arial"/>
          <w:color w:val="2C3E50"/>
          <w:sz w:val="22"/>
          <w:szCs w:val="22"/>
        </w:rPr>
        <w:t xml:space="preserve">strike_alert_level, geopolitical_risk_index, and regional_fuel_price_index normalised to [0,1].</w:t>
      </w:r>
    </w:p>
    <w:p>
      <w:pPr>
        <w:spacing w:before="60" w:after="0"/>
      </w:pPr>
    </w:p>
    <w:p>
      <w:pPr>
        <w:pStyle w:val="Heading2"/>
        <w:spacing w:before="240" w:after="60"/>
      </w:pPr>
      <w:r>
        <w:rPr>
          <w:rFonts w:ascii="Arial" w:cs="Arial" w:eastAsia="Arial" w:hAnsi="Arial"/>
          <w:b/>
          <w:bCs/>
          <w:color w:val="148F77"/>
          <w:sz w:val="24"/>
          <w:szCs w:val="24"/>
        </w:rPr>
        <w:t xml:space="preserve">3.2 Key EDA Findings</w:t>
      </w:r>
    </w:p>
    <w:p>
      <w:pPr>
        <w:pStyle w:val="ListParagraph"/>
        <w:numPr>
          <w:ilvl w:val="0"/>
          <w:numId w:val="2"/>
        </w:numPr>
        <w:spacing w:before="40" w:after="40"/>
      </w:pPr>
      <w:r>
        <w:rPr>
          <w:rFonts w:ascii="Arial" w:cs="Arial" w:eastAsia="Arial" w:hAnsi="Arial"/>
          <w:b/>
          <w:bCs/>
          <w:color w:val="1B2631"/>
          <w:sz w:val="22"/>
          <w:szCs w:val="22"/>
        </w:rPr>
        <w:t xml:space="preserve">Berth occupancy &amp; yard utilisation </w:t>
      </w:r>
      <w:r>
        <w:rPr>
          <w:rFonts w:ascii="Arial" w:cs="Arial" w:eastAsia="Arial" w:hAnsi="Arial"/>
          <w:color w:val="2C3E50"/>
          <w:sz w:val="22"/>
          <w:szCs w:val="22"/>
        </w:rPr>
        <w:t xml:space="preserve">emerged as the strongest individual delay correlates — port infrastructure stress matters more than weather in isolation.</w:t>
      </w:r>
    </w:p>
    <w:p>
      <w:pPr>
        <w:pStyle w:val="ListParagraph"/>
        <w:numPr>
          <w:ilvl w:val="0"/>
          <w:numId w:val="2"/>
        </w:numPr>
        <w:spacing w:before="40" w:after="40"/>
      </w:pPr>
      <w:r>
        <w:rPr>
          <w:rFonts w:ascii="Arial" w:cs="Arial" w:eastAsia="Arial" w:hAnsi="Arial"/>
          <w:b/>
          <w:bCs/>
          <w:color w:val="1B2631"/>
          <w:sz w:val="22"/>
          <w:szCs w:val="22"/>
        </w:rPr>
        <w:t xml:space="preserve">Strike alert level 3+ </w:t>
      </w:r>
      <w:r>
        <w:rPr>
          <w:rFonts w:ascii="Arial" w:cs="Arial" w:eastAsia="Arial" w:hAnsi="Arial"/>
          <w:color w:val="2C3E50"/>
          <w:sz w:val="22"/>
          <w:szCs w:val="22"/>
        </w:rPr>
        <w:t xml:space="preserve">nearly doubles delay probability versus baseline (no-strike) conditions.</w:t>
      </w:r>
    </w:p>
    <w:p>
      <w:pPr>
        <w:pStyle w:val="ListParagraph"/>
        <w:numPr>
          <w:ilvl w:val="0"/>
          <w:numId w:val="2"/>
        </w:numPr>
        <w:spacing w:before="40" w:after="40"/>
      </w:pPr>
      <w:r>
        <w:rPr>
          <w:rFonts w:ascii="Arial" w:cs="Arial" w:eastAsia="Arial" w:hAnsi="Arial"/>
          <w:b/>
          <w:bCs/>
          <w:color w:val="1B2631"/>
          <w:sz w:val="22"/>
          <w:szCs w:val="22"/>
        </w:rPr>
        <w:t xml:space="preserve">Seasonal Q1/Q2 spikes </w:t>
      </w:r>
      <w:r>
        <w:rPr>
          <w:rFonts w:ascii="Arial" w:cs="Arial" w:eastAsia="Arial" w:hAnsi="Arial"/>
          <w:color w:val="2C3E50"/>
          <w:sz w:val="22"/>
          <w:szCs w:val="22"/>
        </w:rPr>
        <w:t xml:space="preserve">visible in rolling daily delay rate, consistent with post-holiday inventory restocking surges.</w:t>
      </w:r>
    </w:p>
    <w:p>
      <w:pPr>
        <w:pStyle w:val="ListParagraph"/>
        <w:numPr>
          <w:ilvl w:val="0"/>
          <w:numId w:val="2"/>
        </w:numPr>
        <w:spacing w:before="40" w:after="40"/>
      </w:pPr>
      <w:r>
        <w:rPr>
          <w:rFonts w:ascii="Arial" w:cs="Arial" w:eastAsia="Arial" w:hAnsi="Arial"/>
          <w:b/>
          <w:bCs/>
          <w:color w:val="1B2631"/>
          <w:sz w:val="22"/>
          <w:szCs w:val="22"/>
        </w:rPr>
        <w:t xml:space="preserve">High inter-port variance: </w:t>
      </w:r>
      <w:r>
        <w:rPr>
          <w:rFonts w:ascii="Arial" w:cs="Arial" w:eastAsia="Arial" w:hAnsi="Arial"/>
          <w:color w:val="2C3E50"/>
          <w:sz w:val="22"/>
          <w:szCs w:val="22"/>
        </w:rPr>
        <w:t xml:space="preserve">congestion is port-specific, not global — delay rates vary significantly across the 10 origin ports.</w:t>
      </w:r>
    </w:p>
    <w:p>
      <w:pPr>
        <w:pStyle w:val="ListParagraph"/>
        <w:numPr>
          <w:ilvl w:val="0"/>
          <w:numId w:val="2"/>
        </w:numPr>
        <w:spacing w:before="40" w:after="40"/>
      </w:pPr>
      <w:r>
        <w:rPr>
          <w:rFonts w:ascii="Arial" w:cs="Arial" w:eastAsia="Arial" w:hAnsi="Arial"/>
          <w:b/>
          <w:bCs/>
          <w:color w:val="1B2631"/>
          <w:sz w:val="22"/>
          <w:szCs w:val="22"/>
        </w:rPr>
        <w:t xml:space="preserve">Median waiting time </w:t>
      </w:r>
      <w:r>
        <w:rPr>
          <w:rFonts w:ascii="Arial" w:cs="Arial" w:eastAsia="Arial" w:hAnsi="Arial"/>
          <w:color w:val="2C3E50"/>
          <w:sz w:val="22"/>
          <w:szCs w:val="22"/>
        </w:rPr>
        <w:t xml:space="preserve">shows nonlinear inflection above 48 hours, where delay probability approaches certainty.</w:t>
      </w:r>
    </w:p>
    <w:p>
      <w:pPr>
        <w:spacing w:before="30" w:after="0"/>
      </w:pPr>
    </w:p>
    <w:p>
      <w:pPr>
        <w:pStyle w:val="Heading2"/>
        <w:spacing w:before="240" w:after="60"/>
      </w:pPr>
      <w:r>
        <w:rPr>
          <w:rFonts w:ascii="Arial" w:cs="Arial" w:eastAsia="Arial" w:hAnsi="Arial"/>
          <w:b/>
          <w:bCs/>
          <w:color w:val="148F77"/>
          <w:sz w:val="24"/>
          <w:szCs w:val="24"/>
        </w:rPr>
        <w:t xml:space="preserve">3.3 Correlation Highlights</w:t>
      </w:r>
    </w:p>
    <w:p>
      <w:pPr>
        <w:spacing w:before="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c>
          <w:tcPr>
            <w:tcW w:type="dxa" w:w="3000"/>
            <w:tcBorders>
              <w:top w:val="single" w:color="D5D8DC" w:sz="4"/>
              <w:left w:val="single" w:color="D5D8DC" w:sz="4"/>
              <w:bottom w:val="single" w:color="D5D8DC" w:sz="4"/>
              <w:right w:val="single" w:color="D5D8DC" w:sz="4"/>
            </w:tcBorders>
            <w:shd w:fill="1A5276" w:val="clear"/>
            <w:tcMar>
              <w:top w:type="dxa" w:w="50"/>
              <w:left w:type="dxa" w:w="120"/>
              <w:bottom w:type="dxa" w:w="50"/>
              <w:right w:type="dxa" w:w="120"/>
            </w:tcMar>
          </w:tcPr>
          <w:p>
            <w:pPr>
              <w:spacing w:before="0" w:after="0"/>
            </w:pPr>
            <w:r>
              <w:rPr>
                <w:rFonts w:ascii="Arial" w:cs="Arial" w:eastAsia="Arial" w:hAnsi="Arial"/>
                <w:b/>
                <w:bCs/>
                <w:color w:val="FFFFFF"/>
                <w:sz w:val="20"/>
                <w:szCs w:val="20"/>
              </w:rPr>
              <w:t xml:space="preserve">Feature</w:t>
            </w:r>
          </w:p>
        </w:tc>
        <w:tc>
          <w:tcPr>
            <w:tcW w:type="dxa" w:w="2400"/>
            <w:tcBorders>
              <w:top w:val="single" w:color="D5D8DC" w:sz="4"/>
              <w:left w:val="single" w:color="D5D8DC" w:sz="4"/>
              <w:bottom w:val="single" w:color="D5D8DC" w:sz="4"/>
              <w:right w:val="single" w:color="D5D8DC" w:sz="4"/>
            </w:tcBorders>
            <w:shd w:fill="1A5276" w:val="clear"/>
            <w:tcMar>
              <w:top w:type="dxa" w:w="50"/>
              <w:left w:type="dxa" w:w="120"/>
              <w:bottom w:type="dxa" w:w="50"/>
              <w:right w:type="dxa" w:w="120"/>
            </w:tcMar>
          </w:tcPr>
          <w:p>
            <w:pPr>
              <w:spacing w:before="0" w:after="0"/>
            </w:pPr>
            <w:r>
              <w:rPr>
                <w:rFonts w:ascii="Arial" w:cs="Arial" w:eastAsia="Arial" w:hAnsi="Arial"/>
                <w:b/>
                <w:bCs/>
                <w:color w:val="FFFFFF"/>
                <w:sz w:val="20"/>
                <w:szCs w:val="20"/>
              </w:rPr>
              <w:t xml:space="preserve">Correlation with Delay</w:t>
            </w:r>
          </w:p>
        </w:tc>
        <w:tc>
          <w:tcPr>
            <w:tcW w:type="dxa" w:w="3960"/>
            <w:tcBorders>
              <w:top w:val="single" w:color="D5D8DC" w:sz="4"/>
              <w:left w:val="single" w:color="D5D8DC" w:sz="4"/>
              <w:bottom w:val="single" w:color="D5D8DC" w:sz="4"/>
              <w:right w:val="single" w:color="D5D8DC" w:sz="4"/>
            </w:tcBorders>
            <w:shd w:fill="1A5276" w:val="clear"/>
            <w:tcMar>
              <w:top w:type="dxa" w:w="50"/>
              <w:left w:type="dxa" w:w="120"/>
              <w:bottom w:type="dxa" w:w="50"/>
              <w:right w:type="dxa" w:w="120"/>
            </w:tcMar>
          </w:tcPr>
          <w:p>
            <w:pPr>
              <w:spacing w:before="0" w:after="0"/>
            </w:pPr>
            <w:r>
              <w:rPr>
                <w:rFonts w:ascii="Arial" w:cs="Arial" w:eastAsia="Arial" w:hAnsi="Arial"/>
                <w:b/>
                <w:bCs/>
                <w:color w:val="FFFFFF"/>
                <w:sz w:val="20"/>
                <w:szCs w:val="20"/>
              </w:rPr>
              <w:t xml:space="preserve">Interpretation</w:t>
            </w:r>
          </w:p>
        </w:tc>
      </w:tr>
      <w:tr>
        <w:tc>
          <w:tcPr>
            <w:tcW w:type="dxa" w:w="3000"/>
            <w:tcBorders>
              <w:top w:val="single" w:color="D5D8DC" w:sz="4"/>
              <w:left w:val="single" w:color="D5D8DC" w:sz="4"/>
              <w:bottom w:val="single" w:color="D5D8DC" w:sz="4"/>
              <w:right w:val="single" w:color="D5D8DC" w:sz="4"/>
            </w:tcBorders>
            <w:shd w:fill="FDFEFE" w:val="clear"/>
            <w:tcMar>
              <w:top w:type="dxa" w:w="50"/>
              <w:left w:type="dxa" w:w="120"/>
              <w:bottom w:type="dxa" w:w="50"/>
              <w:right w:type="dxa" w:w="120"/>
            </w:tcMar>
          </w:tcPr>
          <w:p>
            <w:pPr>
              <w:spacing w:before="0" w:after="0"/>
            </w:pPr>
            <w:r>
              <w:rPr>
                <w:rFonts w:ascii="Arial" w:cs="Arial" w:eastAsia="Arial" w:hAnsi="Arial"/>
                <w:color w:val="2C3E50"/>
                <w:sz w:val="20"/>
                <w:szCs w:val="20"/>
              </w:rPr>
              <w:t xml:space="preserve">berth_occupancy_pct</w:t>
            </w:r>
          </w:p>
        </w:tc>
        <w:tc>
          <w:tcPr>
            <w:tcW w:type="dxa" w:w="2400"/>
            <w:tcBorders>
              <w:top w:val="single" w:color="D5D8DC" w:sz="4"/>
              <w:left w:val="single" w:color="D5D8DC" w:sz="4"/>
              <w:bottom w:val="single" w:color="D5D8DC" w:sz="4"/>
              <w:right w:val="single" w:color="D5D8DC" w:sz="4"/>
            </w:tcBorders>
            <w:shd w:fill="FDFEFE" w:val="clear"/>
            <w:tcMar>
              <w:top w:type="dxa" w:w="50"/>
              <w:left w:type="dxa" w:w="120"/>
              <w:bottom w:type="dxa" w:w="50"/>
              <w:right w:type="dxa" w:w="120"/>
            </w:tcMar>
          </w:tcPr>
          <w:p>
            <w:pPr>
              <w:spacing w:before="0" w:after="0"/>
            </w:pPr>
            <w:r>
              <w:rPr>
                <w:rFonts w:ascii="Arial" w:cs="Arial" w:eastAsia="Arial" w:hAnsi="Arial"/>
                <w:color w:val="2C3E50"/>
                <w:sz w:val="20"/>
                <w:szCs w:val="20"/>
              </w:rPr>
              <w:t xml:space="preserve">Strong positive</w:t>
            </w:r>
          </w:p>
        </w:tc>
        <w:tc>
          <w:tcPr>
            <w:tcW w:type="dxa" w:w="3960"/>
            <w:tcBorders>
              <w:top w:val="single" w:color="D5D8DC" w:sz="4"/>
              <w:left w:val="single" w:color="D5D8DC" w:sz="4"/>
              <w:bottom w:val="single" w:color="D5D8DC" w:sz="4"/>
              <w:right w:val="single" w:color="D5D8DC" w:sz="4"/>
            </w:tcBorders>
            <w:shd w:fill="FDFEFE" w:val="clear"/>
            <w:tcMar>
              <w:top w:type="dxa" w:w="50"/>
              <w:left w:type="dxa" w:w="120"/>
              <w:bottom w:type="dxa" w:w="50"/>
              <w:right w:type="dxa" w:w="120"/>
            </w:tcMar>
          </w:tcPr>
          <w:p>
            <w:pPr>
              <w:spacing w:before="0" w:after="0"/>
            </w:pPr>
            <w:r>
              <w:rPr>
                <w:rFonts w:ascii="Arial" w:cs="Arial" w:eastAsia="Arial" w:hAnsi="Arial"/>
                <w:color w:val="2C3E50"/>
                <w:sz w:val="20"/>
                <w:szCs w:val="20"/>
              </w:rPr>
              <w:t xml:space="preserve">High berth load → vessels idle at anchorage</w:t>
            </w:r>
          </w:p>
        </w:tc>
      </w:tr>
      <w:tr>
        <w:tc>
          <w:tcPr>
            <w:tcW w:type="dxa" w:w="3000"/>
            <w:tcBorders>
              <w:top w:val="single" w:color="D5D8DC" w:sz="4"/>
              <w:left w:val="single" w:color="D5D8DC" w:sz="4"/>
              <w:bottom w:val="single" w:color="D5D8DC" w:sz="4"/>
              <w:right w:val="single" w:color="D5D8DC" w:sz="4"/>
            </w:tcBorders>
            <w:shd w:fill="EBF5FB" w:val="clear"/>
            <w:tcMar>
              <w:top w:type="dxa" w:w="50"/>
              <w:left w:type="dxa" w:w="120"/>
              <w:bottom w:type="dxa" w:w="50"/>
              <w:right w:type="dxa" w:w="120"/>
            </w:tcMar>
          </w:tcPr>
          <w:p>
            <w:pPr>
              <w:spacing w:before="0" w:after="0"/>
            </w:pPr>
            <w:r>
              <w:rPr>
                <w:rFonts w:ascii="Arial" w:cs="Arial" w:eastAsia="Arial" w:hAnsi="Arial"/>
                <w:color w:val="2C3E50"/>
                <w:sz w:val="20"/>
                <w:szCs w:val="20"/>
              </w:rPr>
              <w:t xml:space="preserve">yard_utilization_pct</w:t>
            </w:r>
          </w:p>
        </w:tc>
        <w:tc>
          <w:tcPr>
            <w:tcW w:type="dxa" w:w="2400"/>
            <w:tcBorders>
              <w:top w:val="single" w:color="D5D8DC" w:sz="4"/>
              <w:left w:val="single" w:color="D5D8DC" w:sz="4"/>
              <w:bottom w:val="single" w:color="D5D8DC" w:sz="4"/>
              <w:right w:val="single" w:color="D5D8DC" w:sz="4"/>
            </w:tcBorders>
            <w:shd w:fill="EBF5FB" w:val="clear"/>
            <w:tcMar>
              <w:top w:type="dxa" w:w="50"/>
              <w:left w:type="dxa" w:w="120"/>
              <w:bottom w:type="dxa" w:w="50"/>
              <w:right w:type="dxa" w:w="120"/>
            </w:tcMar>
          </w:tcPr>
          <w:p>
            <w:pPr>
              <w:spacing w:before="0" w:after="0"/>
            </w:pPr>
            <w:r>
              <w:rPr>
                <w:rFonts w:ascii="Arial" w:cs="Arial" w:eastAsia="Arial" w:hAnsi="Arial"/>
                <w:color w:val="2C3E50"/>
                <w:sz w:val="20"/>
                <w:szCs w:val="20"/>
              </w:rPr>
              <w:t xml:space="preserve">Strong positive</w:t>
            </w:r>
          </w:p>
        </w:tc>
        <w:tc>
          <w:tcPr>
            <w:tcW w:type="dxa" w:w="3960"/>
            <w:tcBorders>
              <w:top w:val="single" w:color="D5D8DC" w:sz="4"/>
              <w:left w:val="single" w:color="D5D8DC" w:sz="4"/>
              <w:bottom w:val="single" w:color="D5D8DC" w:sz="4"/>
              <w:right w:val="single" w:color="D5D8DC" w:sz="4"/>
            </w:tcBorders>
            <w:shd w:fill="EBF5FB" w:val="clear"/>
            <w:tcMar>
              <w:top w:type="dxa" w:w="50"/>
              <w:left w:type="dxa" w:w="120"/>
              <w:bottom w:type="dxa" w:w="50"/>
              <w:right w:type="dxa" w:w="120"/>
            </w:tcMar>
          </w:tcPr>
          <w:p>
            <w:pPr>
              <w:spacing w:before="0" w:after="0"/>
            </w:pPr>
            <w:r>
              <w:rPr>
                <w:rFonts w:ascii="Arial" w:cs="Arial" w:eastAsia="Arial" w:hAnsi="Arial"/>
                <w:color w:val="2C3E50"/>
                <w:sz w:val="20"/>
                <w:szCs w:val="20"/>
              </w:rPr>
              <w:t xml:space="preserve">Yard saturation → dwell time overruns</w:t>
            </w:r>
          </w:p>
        </w:tc>
      </w:tr>
      <w:tr>
        <w:tc>
          <w:tcPr>
            <w:tcW w:type="dxa" w:w="3000"/>
            <w:tcBorders>
              <w:top w:val="single" w:color="D5D8DC" w:sz="4"/>
              <w:left w:val="single" w:color="D5D8DC" w:sz="4"/>
              <w:bottom w:val="single" w:color="D5D8DC" w:sz="4"/>
              <w:right w:val="single" w:color="D5D8DC" w:sz="4"/>
            </w:tcBorders>
            <w:shd w:fill="FDFEFE" w:val="clear"/>
            <w:tcMar>
              <w:top w:type="dxa" w:w="50"/>
              <w:left w:type="dxa" w:w="120"/>
              <w:bottom w:type="dxa" w:w="50"/>
              <w:right w:type="dxa" w:w="120"/>
            </w:tcMar>
          </w:tcPr>
          <w:p>
            <w:pPr>
              <w:spacing w:before="0" w:after="0"/>
            </w:pPr>
            <w:r>
              <w:rPr>
                <w:rFonts w:ascii="Arial" w:cs="Arial" w:eastAsia="Arial" w:hAnsi="Arial"/>
                <w:color w:val="2C3E50"/>
                <w:sz w:val="20"/>
                <w:szCs w:val="20"/>
              </w:rPr>
              <w:t xml:space="preserve">median_waiting_time_hours</w:t>
            </w:r>
          </w:p>
        </w:tc>
        <w:tc>
          <w:tcPr>
            <w:tcW w:type="dxa" w:w="2400"/>
            <w:tcBorders>
              <w:top w:val="single" w:color="D5D8DC" w:sz="4"/>
              <w:left w:val="single" w:color="D5D8DC" w:sz="4"/>
              <w:bottom w:val="single" w:color="D5D8DC" w:sz="4"/>
              <w:right w:val="single" w:color="D5D8DC" w:sz="4"/>
            </w:tcBorders>
            <w:shd w:fill="FDFEFE" w:val="clear"/>
            <w:tcMar>
              <w:top w:type="dxa" w:w="50"/>
              <w:left w:type="dxa" w:w="120"/>
              <w:bottom w:type="dxa" w:w="50"/>
              <w:right w:type="dxa" w:w="120"/>
            </w:tcMar>
          </w:tcPr>
          <w:p>
            <w:pPr>
              <w:spacing w:before="0" w:after="0"/>
            </w:pPr>
            <w:r>
              <w:rPr>
                <w:rFonts w:ascii="Arial" w:cs="Arial" w:eastAsia="Arial" w:hAnsi="Arial"/>
                <w:color w:val="2C3E50"/>
                <w:sz w:val="20"/>
                <w:szCs w:val="20"/>
              </w:rPr>
              <w:t xml:space="preserve">Strong positive</w:t>
            </w:r>
          </w:p>
        </w:tc>
        <w:tc>
          <w:tcPr>
            <w:tcW w:type="dxa" w:w="3960"/>
            <w:tcBorders>
              <w:top w:val="single" w:color="D5D8DC" w:sz="4"/>
              <w:left w:val="single" w:color="D5D8DC" w:sz="4"/>
              <w:bottom w:val="single" w:color="D5D8DC" w:sz="4"/>
              <w:right w:val="single" w:color="D5D8DC" w:sz="4"/>
            </w:tcBorders>
            <w:shd w:fill="FDFEFE" w:val="clear"/>
            <w:tcMar>
              <w:top w:type="dxa" w:w="50"/>
              <w:left w:type="dxa" w:w="120"/>
              <w:bottom w:type="dxa" w:w="50"/>
              <w:right w:type="dxa" w:w="120"/>
            </w:tcMar>
          </w:tcPr>
          <w:p>
            <w:pPr>
              <w:spacing w:before="0" w:after="0"/>
            </w:pPr>
            <w:r>
              <w:rPr>
                <w:rFonts w:ascii="Arial" w:cs="Arial" w:eastAsia="Arial" w:hAnsi="Arial"/>
                <w:color w:val="2C3E50"/>
                <w:sz w:val="20"/>
                <w:szCs w:val="20"/>
              </w:rPr>
              <w:t xml:space="preserve">Direct operational delay signal</w:t>
            </w:r>
          </w:p>
        </w:tc>
      </w:tr>
      <w:tr>
        <w:tc>
          <w:tcPr>
            <w:tcW w:type="dxa" w:w="3000"/>
            <w:tcBorders>
              <w:top w:val="single" w:color="D5D8DC" w:sz="4"/>
              <w:left w:val="single" w:color="D5D8DC" w:sz="4"/>
              <w:bottom w:val="single" w:color="D5D8DC" w:sz="4"/>
              <w:right w:val="single" w:color="D5D8DC" w:sz="4"/>
            </w:tcBorders>
            <w:shd w:fill="EBF5FB" w:val="clear"/>
            <w:tcMar>
              <w:top w:type="dxa" w:w="50"/>
              <w:left w:type="dxa" w:w="120"/>
              <w:bottom w:type="dxa" w:w="50"/>
              <w:right w:type="dxa" w:w="120"/>
            </w:tcMar>
          </w:tcPr>
          <w:p>
            <w:pPr>
              <w:spacing w:before="0" w:after="0"/>
            </w:pPr>
            <w:r>
              <w:rPr>
                <w:rFonts w:ascii="Arial" w:cs="Arial" w:eastAsia="Arial" w:hAnsi="Arial"/>
                <w:color w:val="2C3E50"/>
                <w:sz w:val="20"/>
                <w:szCs w:val="20"/>
              </w:rPr>
              <w:t xml:space="preserve">strike_alert_level</w:t>
            </w:r>
          </w:p>
        </w:tc>
        <w:tc>
          <w:tcPr>
            <w:tcW w:type="dxa" w:w="2400"/>
            <w:tcBorders>
              <w:top w:val="single" w:color="D5D8DC" w:sz="4"/>
              <w:left w:val="single" w:color="D5D8DC" w:sz="4"/>
              <w:bottom w:val="single" w:color="D5D8DC" w:sz="4"/>
              <w:right w:val="single" w:color="D5D8DC" w:sz="4"/>
            </w:tcBorders>
            <w:shd w:fill="EBF5FB" w:val="clear"/>
            <w:tcMar>
              <w:top w:type="dxa" w:w="50"/>
              <w:left w:type="dxa" w:w="120"/>
              <w:bottom w:type="dxa" w:w="50"/>
              <w:right w:type="dxa" w:w="120"/>
            </w:tcMar>
          </w:tcPr>
          <w:p>
            <w:pPr>
              <w:spacing w:before="0" w:after="0"/>
            </w:pPr>
            <w:r>
              <w:rPr>
                <w:rFonts w:ascii="Arial" w:cs="Arial" w:eastAsia="Arial" w:hAnsi="Arial"/>
                <w:color w:val="2C3E50"/>
                <w:sz w:val="20"/>
                <w:szCs w:val="20"/>
              </w:rPr>
              <w:t xml:space="preserve">Moderate positive</w:t>
            </w:r>
          </w:p>
        </w:tc>
        <w:tc>
          <w:tcPr>
            <w:tcW w:type="dxa" w:w="3960"/>
            <w:tcBorders>
              <w:top w:val="single" w:color="D5D8DC" w:sz="4"/>
              <w:left w:val="single" w:color="D5D8DC" w:sz="4"/>
              <w:bottom w:val="single" w:color="D5D8DC" w:sz="4"/>
              <w:right w:val="single" w:color="D5D8DC" w:sz="4"/>
            </w:tcBorders>
            <w:shd w:fill="EBF5FB" w:val="clear"/>
            <w:tcMar>
              <w:top w:type="dxa" w:w="50"/>
              <w:left w:type="dxa" w:w="120"/>
              <w:bottom w:type="dxa" w:w="50"/>
              <w:right w:type="dxa" w:w="120"/>
            </w:tcMar>
          </w:tcPr>
          <w:p>
            <w:pPr>
              <w:spacing w:before="0" w:after="0"/>
            </w:pPr>
            <w:r>
              <w:rPr>
                <w:rFonts w:ascii="Arial" w:cs="Arial" w:eastAsia="Arial" w:hAnsi="Arial"/>
                <w:color w:val="2C3E50"/>
                <w:sz w:val="20"/>
                <w:szCs w:val="20"/>
              </w:rPr>
              <w:t xml:space="preserve">Labor risk escalates with alert tier</w:t>
            </w:r>
          </w:p>
        </w:tc>
      </w:tr>
      <w:tr>
        <w:tc>
          <w:tcPr>
            <w:tcW w:type="dxa" w:w="3000"/>
            <w:tcBorders>
              <w:top w:val="single" w:color="D5D8DC" w:sz="4"/>
              <w:left w:val="single" w:color="D5D8DC" w:sz="4"/>
              <w:bottom w:val="single" w:color="D5D8DC" w:sz="4"/>
              <w:right w:val="single" w:color="D5D8DC" w:sz="4"/>
            </w:tcBorders>
            <w:shd w:fill="FDFEFE" w:val="clear"/>
            <w:tcMar>
              <w:top w:type="dxa" w:w="50"/>
              <w:left w:type="dxa" w:w="120"/>
              <w:bottom w:type="dxa" w:w="50"/>
              <w:right w:type="dxa" w:w="120"/>
            </w:tcMar>
          </w:tcPr>
          <w:p>
            <w:pPr>
              <w:spacing w:before="0" w:after="0"/>
            </w:pPr>
            <w:r>
              <w:rPr>
                <w:rFonts w:ascii="Arial" w:cs="Arial" w:eastAsia="Arial" w:hAnsi="Arial"/>
                <w:color w:val="2C3E50"/>
                <w:sz w:val="20"/>
                <w:szCs w:val="20"/>
              </w:rPr>
              <w:t xml:space="preserve">geopolitical_risk_index</w:t>
            </w:r>
          </w:p>
        </w:tc>
        <w:tc>
          <w:tcPr>
            <w:tcW w:type="dxa" w:w="2400"/>
            <w:tcBorders>
              <w:top w:val="single" w:color="D5D8DC" w:sz="4"/>
              <w:left w:val="single" w:color="D5D8DC" w:sz="4"/>
              <w:bottom w:val="single" w:color="D5D8DC" w:sz="4"/>
              <w:right w:val="single" w:color="D5D8DC" w:sz="4"/>
            </w:tcBorders>
            <w:shd w:fill="FDFEFE" w:val="clear"/>
            <w:tcMar>
              <w:top w:type="dxa" w:w="50"/>
              <w:left w:type="dxa" w:w="120"/>
              <w:bottom w:type="dxa" w:w="50"/>
              <w:right w:type="dxa" w:w="120"/>
            </w:tcMar>
          </w:tcPr>
          <w:p>
            <w:pPr>
              <w:spacing w:before="0" w:after="0"/>
            </w:pPr>
            <w:r>
              <w:rPr>
                <w:rFonts w:ascii="Arial" w:cs="Arial" w:eastAsia="Arial" w:hAnsi="Arial"/>
                <w:color w:val="2C3E50"/>
                <w:sz w:val="20"/>
                <w:szCs w:val="20"/>
              </w:rPr>
              <w:t xml:space="preserve">Moderate positive</w:t>
            </w:r>
          </w:p>
        </w:tc>
        <w:tc>
          <w:tcPr>
            <w:tcW w:type="dxa" w:w="3960"/>
            <w:tcBorders>
              <w:top w:val="single" w:color="D5D8DC" w:sz="4"/>
              <w:left w:val="single" w:color="D5D8DC" w:sz="4"/>
              <w:bottom w:val="single" w:color="D5D8DC" w:sz="4"/>
              <w:right w:val="single" w:color="D5D8DC" w:sz="4"/>
            </w:tcBorders>
            <w:shd w:fill="FDFEFE" w:val="clear"/>
            <w:tcMar>
              <w:top w:type="dxa" w:w="50"/>
              <w:left w:type="dxa" w:w="120"/>
              <w:bottom w:type="dxa" w:w="50"/>
              <w:right w:type="dxa" w:w="120"/>
            </w:tcMar>
          </w:tcPr>
          <w:p>
            <w:pPr>
              <w:spacing w:before="0" w:after="0"/>
            </w:pPr>
            <w:r>
              <w:rPr>
                <w:rFonts w:ascii="Arial" w:cs="Arial" w:eastAsia="Arial" w:hAnsi="Arial"/>
                <w:color w:val="2C3E50"/>
                <w:sz w:val="20"/>
                <w:szCs w:val="20"/>
              </w:rPr>
              <w:t xml:space="preserve">Political instability disrupts transit corridors</w:t>
            </w:r>
          </w:p>
        </w:tc>
      </w:tr>
      <w:tr>
        <w:tc>
          <w:tcPr>
            <w:tcW w:type="dxa" w:w="3000"/>
            <w:tcBorders>
              <w:top w:val="single" w:color="D5D8DC" w:sz="4"/>
              <w:left w:val="single" w:color="D5D8DC" w:sz="4"/>
              <w:bottom w:val="single" w:color="D5D8DC" w:sz="4"/>
              <w:right w:val="single" w:color="D5D8DC" w:sz="4"/>
            </w:tcBorders>
            <w:shd w:fill="EBF5FB" w:val="clear"/>
            <w:tcMar>
              <w:top w:type="dxa" w:w="50"/>
              <w:left w:type="dxa" w:w="120"/>
              <w:bottom w:type="dxa" w:w="50"/>
              <w:right w:type="dxa" w:w="120"/>
            </w:tcMar>
          </w:tcPr>
          <w:p>
            <w:pPr>
              <w:spacing w:before="0" w:after="0"/>
            </w:pPr>
            <w:r>
              <w:rPr>
                <w:rFonts w:ascii="Arial" w:cs="Arial" w:eastAsia="Arial" w:hAnsi="Arial"/>
                <w:color w:val="2C3E50"/>
                <w:sz w:val="20"/>
                <w:szCs w:val="20"/>
              </w:rPr>
              <w:t xml:space="preserve">news_sentiment_score</w:t>
            </w:r>
          </w:p>
        </w:tc>
        <w:tc>
          <w:tcPr>
            <w:tcW w:type="dxa" w:w="2400"/>
            <w:tcBorders>
              <w:top w:val="single" w:color="D5D8DC" w:sz="4"/>
              <w:left w:val="single" w:color="D5D8DC" w:sz="4"/>
              <w:bottom w:val="single" w:color="D5D8DC" w:sz="4"/>
              <w:right w:val="single" w:color="D5D8DC" w:sz="4"/>
            </w:tcBorders>
            <w:shd w:fill="EBF5FB" w:val="clear"/>
            <w:tcMar>
              <w:top w:type="dxa" w:w="50"/>
              <w:left w:type="dxa" w:w="120"/>
              <w:bottom w:type="dxa" w:w="50"/>
              <w:right w:type="dxa" w:w="120"/>
            </w:tcMar>
          </w:tcPr>
          <w:p>
            <w:pPr>
              <w:spacing w:before="0" w:after="0"/>
            </w:pPr>
            <w:r>
              <w:rPr>
                <w:rFonts w:ascii="Arial" w:cs="Arial" w:eastAsia="Arial" w:hAnsi="Arial"/>
                <w:color w:val="2C3E50"/>
                <w:sz w:val="20"/>
                <w:szCs w:val="20"/>
              </w:rPr>
              <w:t xml:space="preserve">Weak negative</w:t>
            </w:r>
          </w:p>
        </w:tc>
        <w:tc>
          <w:tcPr>
            <w:tcW w:type="dxa" w:w="3960"/>
            <w:tcBorders>
              <w:top w:val="single" w:color="D5D8DC" w:sz="4"/>
              <w:left w:val="single" w:color="D5D8DC" w:sz="4"/>
              <w:bottom w:val="single" w:color="D5D8DC" w:sz="4"/>
              <w:right w:val="single" w:color="D5D8DC" w:sz="4"/>
            </w:tcBorders>
            <w:shd w:fill="EBF5FB" w:val="clear"/>
            <w:tcMar>
              <w:top w:type="dxa" w:w="50"/>
              <w:left w:type="dxa" w:w="120"/>
              <w:bottom w:type="dxa" w:w="50"/>
              <w:right w:type="dxa" w:w="120"/>
            </w:tcMar>
          </w:tcPr>
          <w:p>
            <w:pPr>
              <w:spacing w:before="0" w:after="0"/>
            </w:pPr>
            <w:r>
              <w:rPr>
                <w:rFonts w:ascii="Arial" w:cs="Arial" w:eastAsia="Arial" w:hAnsi="Arial"/>
                <w:color w:val="2C3E50"/>
                <w:sz w:val="20"/>
                <w:szCs w:val="20"/>
              </w:rPr>
              <w:t xml:space="preserve">Negative news correlates with higher delay</w:t>
            </w:r>
          </w:p>
        </w:tc>
      </w:tr>
      <w:tr>
        <w:tc>
          <w:tcPr>
            <w:tcW w:type="dxa" w:w="3000"/>
            <w:tcBorders>
              <w:top w:val="single" w:color="D5D8DC" w:sz="4"/>
              <w:left w:val="single" w:color="D5D8DC" w:sz="4"/>
              <w:bottom w:val="single" w:color="D5D8DC" w:sz="4"/>
              <w:right w:val="single" w:color="D5D8DC" w:sz="4"/>
            </w:tcBorders>
            <w:shd w:fill="FDFEFE" w:val="clear"/>
            <w:tcMar>
              <w:top w:type="dxa" w:w="50"/>
              <w:left w:type="dxa" w:w="120"/>
              <w:bottom w:type="dxa" w:w="50"/>
              <w:right w:type="dxa" w:w="120"/>
            </w:tcMar>
          </w:tcPr>
          <w:p>
            <w:pPr>
              <w:spacing w:before="0" w:after="0"/>
            </w:pPr>
            <w:r>
              <w:rPr>
                <w:rFonts w:ascii="Arial" w:cs="Arial" w:eastAsia="Arial" w:hAnsi="Arial"/>
                <w:color w:val="2C3E50"/>
                <w:sz w:val="20"/>
                <w:szCs w:val="20"/>
              </w:rPr>
              <w:t xml:space="preserve">visibility_km</w:t>
            </w:r>
          </w:p>
        </w:tc>
        <w:tc>
          <w:tcPr>
            <w:tcW w:type="dxa" w:w="2400"/>
            <w:tcBorders>
              <w:top w:val="single" w:color="D5D8DC" w:sz="4"/>
              <w:left w:val="single" w:color="D5D8DC" w:sz="4"/>
              <w:bottom w:val="single" w:color="D5D8DC" w:sz="4"/>
              <w:right w:val="single" w:color="D5D8DC" w:sz="4"/>
            </w:tcBorders>
            <w:shd w:fill="FDFEFE" w:val="clear"/>
            <w:tcMar>
              <w:top w:type="dxa" w:w="50"/>
              <w:left w:type="dxa" w:w="120"/>
              <w:bottom w:type="dxa" w:w="50"/>
              <w:right w:type="dxa" w:w="120"/>
            </w:tcMar>
          </w:tcPr>
          <w:p>
            <w:pPr>
              <w:spacing w:before="0" w:after="0"/>
            </w:pPr>
            <w:r>
              <w:rPr>
                <w:rFonts w:ascii="Arial" w:cs="Arial" w:eastAsia="Arial" w:hAnsi="Arial"/>
                <w:color w:val="2C3E50"/>
                <w:sz w:val="20"/>
                <w:szCs w:val="20"/>
              </w:rPr>
              <w:t xml:space="preserve">Weak negative</w:t>
            </w:r>
          </w:p>
        </w:tc>
        <w:tc>
          <w:tcPr>
            <w:tcW w:type="dxa" w:w="3960"/>
            <w:tcBorders>
              <w:top w:val="single" w:color="D5D8DC" w:sz="4"/>
              <w:left w:val="single" w:color="D5D8DC" w:sz="4"/>
              <w:bottom w:val="single" w:color="D5D8DC" w:sz="4"/>
              <w:right w:val="single" w:color="D5D8DC" w:sz="4"/>
            </w:tcBorders>
            <w:shd w:fill="FDFEFE" w:val="clear"/>
            <w:tcMar>
              <w:top w:type="dxa" w:w="50"/>
              <w:left w:type="dxa" w:w="120"/>
              <w:bottom w:type="dxa" w:w="50"/>
              <w:right w:type="dxa" w:w="120"/>
            </w:tcMar>
          </w:tcPr>
          <w:p>
            <w:pPr>
              <w:spacing w:before="0" w:after="0"/>
            </w:pPr>
            <w:r>
              <w:rPr>
                <w:rFonts w:ascii="Arial" w:cs="Arial" w:eastAsia="Arial" w:hAnsi="Arial"/>
                <w:color w:val="2C3E50"/>
                <w:sz w:val="20"/>
                <w:szCs w:val="20"/>
              </w:rPr>
              <w:t xml:space="preserve">Low visibility → weather-driven delays</w:t>
            </w:r>
          </w:p>
        </w:tc>
      </w:tr>
    </w:tbl>
    <w:p>
      <w:r>
        <w:br w:type="page"/>
      </w:r>
    </w:p>
    <w:p>
      <w:pPr>
        <w:pStyle w:val="Heading1"/>
        <w:spacing w:before="340" w:after="80"/>
      </w:pPr>
      <w:r>
        <w:rPr>
          <w:rFonts w:ascii="Arial" w:cs="Arial" w:eastAsia="Arial" w:hAnsi="Arial"/>
          <w:b/>
          <w:bCs/>
          <w:color w:val="1A5276"/>
          <w:sz w:val="30"/>
          <w:szCs w:val="30"/>
        </w:rPr>
        <w:t xml:space="preserve">4. Phase 2 — Feature Engineering &amp; Modeling</w:t>
      </w:r>
    </w:p>
    <w:p>
      <w:pPr>
        <w:pBdr>
          <w:bottom w:val="single" w:color="2E86C1" w:sz="6" w:space="1"/>
        </w:pBdr>
        <w:spacing w:before="160" w:after="0"/>
      </w:pPr>
    </w:p>
    <w:p>
      <w:pPr>
        <w:spacing w:before="60" w:after="0"/>
      </w:pPr>
    </w:p>
    <w:p>
      <w:pPr>
        <w:pStyle w:val="Heading2"/>
        <w:spacing w:before="240" w:after="60"/>
      </w:pPr>
      <w:r>
        <w:rPr>
          <w:rFonts w:ascii="Arial" w:cs="Arial" w:eastAsia="Arial" w:hAnsi="Arial"/>
          <w:b/>
          <w:bCs/>
          <w:color w:val="148F77"/>
          <w:sz w:val="24"/>
          <w:szCs w:val="24"/>
        </w:rPr>
        <w:t xml:space="preserve">4.1 Feature Engineering</w:t>
      </w:r>
    </w:p>
    <w:p>
      <w:pPr>
        <w:spacing w:before="60" w:after="60"/>
      </w:pPr>
      <w:r>
        <w:rPr>
          <w:rFonts w:ascii="Arial" w:cs="Arial" w:eastAsia="Arial" w:hAnsi="Arial"/>
          <w:color w:val="2C3E50"/>
          <w:sz w:val="22"/>
          <w:szCs w:val="22"/>
        </w:rPr>
        <w:t xml:space="preserve">Starting from 26 raw features, the pipeline constructed 87+ engineered features across seven semantic categories, giving the model both contextual richness and temporal memory.</w:t>
      </w:r>
    </w:p>
    <w:p>
      <w:pPr>
        <w:spacing w:before="60" w:after="0"/>
      </w:pPr>
    </w:p>
    <w:p>
      <w:pPr>
        <w:pStyle w:val="Heading3"/>
        <w:spacing w:before="180" w:after="40"/>
      </w:pPr>
      <w:r>
        <w:rPr>
          <w:rFonts w:ascii="Arial" w:cs="Arial" w:eastAsia="Arial" w:hAnsi="Arial"/>
          <w:b/>
          <w:bCs/>
          <w:color w:val="1B2631"/>
          <w:sz w:val="22"/>
          <w:szCs w:val="22"/>
        </w:rPr>
        <w:t xml:space="preserve">4.1.1 Geospatial Features</w:t>
      </w:r>
    </w:p>
    <w:p>
      <w:pPr>
        <w:pStyle w:val="ListParagraph"/>
        <w:numPr>
          <w:ilvl w:val="0"/>
          <w:numId w:val="2"/>
        </w:numPr>
        <w:spacing w:before="40" w:after="40"/>
      </w:pPr>
      <w:r>
        <w:rPr>
          <w:rFonts w:ascii="Arial" w:cs="Arial" w:eastAsia="Arial" w:hAnsi="Arial"/>
          <w:b/>
          <w:bCs/>
          <w:color w:val="1B2631"/>
          <w:sz w:val="22"/>
          <w:szCs w:val="22"/>
        </w:rPr>
        <w:t xml:space="preserve">Haversine distance (km) </w:t>
      </w:r>
      <w:r>
        <w:rPr>
          <w:rFonts w:ascii="Arial" w:cs="Arial" w:eastAsia="Arial" w:hAnsi="Arial"/>
          <w:color w:val="2C3E50"/>
          <w:sz w:val="22"/>
          <w:szCs w:val="22"/>
        </w:rPr>
        <w:t xml:space="preserve">computed from port-coordinate lookup across all 21 global ports defined in the system.</w:t>
      </w:r>
    </w:p>
    <w:p>
      <w:pPr>
        <w:pStyle w:val="ListParagraph"/>
        <w:numPr>
          <w:ilvl w:val="0"/>
          <w:numId w:val="2"/>
        </w:numPr>
        <w:spacing w:before="40" w:after="40"/>
      </w:pPr>
      <w:r>
        <w:rPr>
          <w:rFonts w:ascii="Arial" w:cs="Arial" w:eastAsia="Arial" w:hAnsi="Arial"/>
          <w:b/>
          <w:bCs/>
          <w:color w:val="1B2631"/>
          <w:sz w:val="22"/>
          <w:szCs w:val="22"/>
        </w:rPr>
        <w:t xml:space="preserve">Equator-crossing flag </w:t>
      </w:r>
      <w:r>
        <w:rPr>
          <w:rFonts w:ascii="Arial" w:cs="Arial" w:eastAsia="Arial" w:hAnsi="Arial"/>
          <w:color w:val="2C3E50"/>
          <w:sz w:val="22"/>
          <w:szCs w:val="22"/>
        </w:rPr>
        <w:t xml:space="preserve">to capture hemisphere-transition routing complexity.</w:t>
      </w:r>
    </w:p>
    <w:p>
      <w:pPr>
        <w:pStyle w:val="ListParagraph"/>
        <w:numPr>
          <w:ilvl w:val="0"/>
          <w:numId w:val="2"/>
        </w:numPr>
        <w:spacing w:before="40" w:after="40"/>
      </w:pPr>
      <w:r>
        <w:rPr>
          <w:rFonts w:ascii="Arial" w:cs="Arial" w:eastAsia="Arial" w:hAnsi="Arial"/>
          <w:b/>
          <w:bCs/>
          <w:color w:val="1B2631"/>
          <w:sz w:val="22"/>
          <w:szCs w:val="22"/>
        </w:rPr>
        <w:t xml:space="preserve">Transit efficiency ratio </w:t>
      </w:r>
      <w:r>
        <w:rPr>
          <w:rFonts w:ascii="Arial" w:cs="Arial" w:eastAsia="Arial" w:hAnsi="Arial"/>
          <w:color w:val="2C3E50"/>
          <w:sz w:val="22"/>
          <w:szCs w:val="22"/>
        </w:rPr>
        <w:t xml:space="preserve">(scheduled_transit_days / distance_km) normalising journey pace.</w:t>
      </w:r>
    </w:p>
    <w:p>
      <w:pPr>
        <w:spacing w:before="40" w:after="0"/>
      </w:pPr>
    </w:p>
    <w:p>
      <w:pPr>
        <w:pStyle w:val="Heading3"/>
        <w:spacing w:before="180" w:after="40"/>
      </w:pPr>
      <w:r>
        <w:rPr>
          <w:rFonts w:ascii="Arial" w:cs="Arial" w:eastAsia="Arial" w:hAnsi="Arial"/>
          <w:b/>
          <w:bCs/>
          <w:color w:val="1B2631"/>
          <w:sz w:val="22"/>
          <w:szCs w:val="22"/>
        </w:rPr>
        <w:t xml:space="preserve">4.1.2 Port Congestion Features</w:t>
      </w:r>
    </w:p>
    <w:p>
      <w:pPr>
        <w:pStyle w:val="ListParagraph"/>
        <w:numPr>
          <w:ilvl w:val="0"/>
          <w:numId w:val="2"/>
        </w:numPr>
        <w:spacing w:before="40" w:after="40"/>
      </w:pPr>
      <w:r>
        <w:rPr>
          <w:rFonts w:ascii="Arial" w:cs="Arial" w:eastAsia="Arial" w:hAnsi="Arial"/>
          <w:b/>
          <w:bCs/>
          <w:color w:val="1B2631"/>
          <w:sz w:val="22"/>
          <w:szCs w:val="22"/>
        </w:rPr>
        <w:t xml:space="preserve">port_congestion_index: </w:t>
      </w:r>
      <w:r>
        <w:rPr>
          <w:rFonts w:ascii="Arial" w:cs="Arial" w:eastAsia="Arial" w:hAnsi="Arial"/>
          <w:color w:val="2C3E50"/>
          <w:sz w:val="22"/>
          <w:szCs w:val="22"/>
        </w:rPr>
        <w:t xml:space="preserve">mean of berth_occupancy_pct and yard_utilization_pct.</w:t>
      </w:r>
    </w:p>
    <w:p>
      <w:pPr>
        <w:pStyle w:val="ListParagraph"/>
        <w:numPr>
          <w:ilvl w:val="0"/>
          <w:numId w:val="2"/>
        </w:numPr>
        <w:spacing w:before="40" w:after="40"/>
      </w:pPr>
      <w:r>
        <w:rPr>
          <w:rFonts w:ascii="Arial" w:cs="Arial" w:eastAsia="Arial" w:hAnsi="Arial"/>
          <w:b/>
          <w:bCs/>
          <w:color w:val="1B2631"/>
          <w:sz w:val="22"/>
          <w:szCs w:val="22"/>
        </w:rPr>
        <w:t xml:space="preserve">congestion_x_vessels: </w:t>
      </w:r>
      <w:r>
        <w:rPr>
          <w:rFonts w:ascii="Arial" w:cs="Arial" w:eastAsia="Arial" w:hAnsi="Arial"/>
          <w:color w:val="2C3E50"/>
          <w:sz w:val="22"/>
          <w:szCs w:val="22"/>
        </w:rPr>
        <w:t xml:space="preserve">interaction between congestion index and anchorage vessel count.</w:t>
      </w:r>
    </w:p>
    <w:p>
      <w:pPr>
        <w:pStyle w:val="ListParagraph"/>
        <w:numPr>
          <w:ilvl w:val="0"/>
          <w:numId w:val="2"/>
        </w:numPr>
        <w:spacing w:before="40" w:after="40"/>
      </w:pPr>
      <w:r>
        <w:rPr>
          <w:rFonts w:ascii="Arial" w:cs="Arial" w:eastAsia="Arial" w:hAnsi="Arial"/>
          <w:b/>
          <w:bCs/>
          <w:color w:val="1B2631"/>
          <w:sz w:val="22"/>
          <w:szCs w:val="22"/>
        </w:rPr>
        <w:t xml:space="preserve">high_berth / high_yard: </w:t>
      </w:r>
      <w:r>
        <w:rPr>
          <w:rFonts w:ascii="Arial" w:cs="Arial" w:eastAsia="Arial" w:hAnsi="Arial"/>
          <w:color w:val="2C3E50"/>
          <w:sz w:val="22"/>
          <w:szCs w:val="22"/>
        </w:rPr>
        <w:t xml:space="preserve">binary flags for occupancy &gt; 75%.</w:t>
      </w:r>
    </w:p>
    <w:p>
      <w:pPr>
        <w:pStyle w:val="ListParagraph"/>
        <w:numPr>
          <w:ilvl w:val="0"/>
          <w:numId w:val="2"/>
        </w:numPr>
        <w:spacing w:before="40" w:after="40"/>
      </w:pPr>
      <w:r>
        <w:rPr>
          <w:rFonts w:ascii="Arial" w:cs="Arial" w:eastAsia="Arial" w:hAnsi="Arial"/>
          <w:b/>
          <w:bCs/>
          <w:color w:val="1B2631"/>
          <w:sz w:val="22"/>
          <w:szCs w:val="22"/>
        </w:rPr>
        <w:t xml:space="preserve">critical_congestion: </w:t>
      </w:r>
      <w:r>
        <w:rPr>
          <w:rFonts w:ascii="Arial" w:cs="Arial" w:eastAsia="Arial" w:hAnsi="Arial"/>
          <w:color w:val="2C3E50"/>
          <w:sz w:val="22"/>
          <w:szCs w:val="22"/>
        </w:rPr>
        <w:t xml:space="preserve">binary flag for congestion index &gt; 80%.</w:t>
      </w:r>
    </w:p>
    <w:p>
      <w:pPr>
        <w:spacing w:before="40" w:after="0"/>
      </w:pPr>
    </w:p>
    <w:p>
      <w:pPr>
        <w:pStyle w:val="Heading3"/>
        <w:spacing w:before="180" w:after="40"/>
      </w:pPr>
      <w:r>
        <w:rPr>
          <w:rFonts w:ascii="Arial" w:cs="Arial" w:eastAsia="Arial" w:hAnsi="Arial"/>
          <w:b/>
          <w:bCs/>
          <w:color w:val="1B2631"/>
          <w:sz w:val="22"/>
          <w:szCs w:val="22"/>
        </w:rPr>
        <w:t xml:space="preserve">4.1.3 Weather Severity Features</w:t>
      </w:r>
    </w:p>
    <w:p>
      <w:pPr>
        <w:pStyle w:val="ListParagraph"/>
        <w:numPr>
          <w:ilvl w:val="0"/>
          <w:numId w:val="2"/>
        </w:numPr>
        <w:spacing w:before="40" w:after="40"/>
      </w:pPr>
      <w:r>
        <w:rPr>
          <w:rFonts w:ascii="Arial" w:cs="Arial" w:eastAsia="Arial" w:hAnsi="Arial"/>
          <w:b/>
          <w:bCs/>
          <w:color w:val="1B2631"/>
          <w:sz w:val="22"/>
          <w:szCs w:val="22"/>
        </w:rPr>
        <w:t xml:space="preserve">weather_severity_score: </w:t>
      </w:r>
      <w:r>
        <w:rPr>
          <w:rFonts w:ascii="Arial" w:cs="Arial" w:eastAsia="Arial" w:hAnsi="Arial"/>
          <w:color w:val="2C3E50"/>
          <w:sz w:val="22"/>
          <w:szCs w:val="22"/>
        </w:rPr>
        <w:t xml:space="preserve">composite of normalised wave height, wind speed, and inverse visibility.</w:t>
      </w:r>
    </w:p>
    <w:p>
      <w:pPr>
        <w:pStyle w:val="ListParagraph"/>
        <w:numPr>
          <w:ilvl w:val="0"/>
          <w:numId w:val="2"/>
        </w:numPr>
        <w:spacing w:before="40" w:after="40"/>
      </w:pPr>
      <w:r>
        <w:rPr>
          <w:rFonts w:ascii="Arial" w:cs="Arial" w:eastAsia="Arial" w:hAnsi="Arial"/>
          <w:b/>
          <w:bCs/>
          <w:color w:val="1B2631"/>
          <w:sz w:val="22"/>
          <w:szCs w:val="22"/>
        </w:rPr>
        <w:t xml:space="preserve">wind_x_wave / fog_x_visibility: </w:t>
      </w:r>
      <w:r>
        <w:rPr>
          <w:rFonts w:ascii="Arial" w:cs="Arial" w:eastAsia="Arial" w:hAnsi="Arial"/>
          <w:color w:val="2C3E50"/>
          <w:sz w:val="22"/>
          <w:szCs w:val="22"/>
        </w:rPr>
        <w:t xml:space="preserve">interaction terms capturing combined meteorological stress.</w:t>
      </w:r>
    </w:p>
    <w:p>
      <w:pPr>
        <w:pStyle w:val="ListParagraph"/>
        <w:numPr>
          <w:ilvl w:val="0"/>
          <w:numId w:val="2"/>
        </w:numPr>
        <w:spacing w:before="40" w:after="40"/>
      </w:pPr>
      <w:r>
        <w:rPr>
          <w:rFonts w:ascii="Arial" w:cs="Arial" w:eastAsia="Arial" w:hAnsi="Arial"/>
          <w:b/>
          <w:bCs/>
          <w:color w:val="1B2631"/>
          <w:sz w:val="22"/>
          <w:szCs w:val="22"/>
        </w:rPr>
        <w:t xml:space="preserve">severe_weather: </w:t>
      </w:r>
      <w:r>
        <w:rPr>
          <w:rFonts w:ascii="Arial" w:cs="Arial" w:eastAsia="Arial" w:hAnsi="Arial"/>
          <w:color w:val="2C3E50"/>
          <w:sz w:val="22"/>
          <w:szCs w:val="22"/>
        </w:rPr>
        <w:t xml:space="preserve">binary flag for composite severity &gt; 0.55.</w:t>
      </w:r>
    </w:p>
    <w:p>
      <w:pPr>
        <w:spacing w:before="40" w:after="0"/>
      </w:pPr>
    </w:p>
    <w:p>
      <w:pPr>
        <w:pStyle w:val="Heading3"/>
        <w:spacing w:before="180" w:after="40"/>
      </w:pPr>
      <w:r>
        <w:rPr>
          <w:rFonts w:ascii="Arial" w:cs="Arial" w:eastAsia="Arial" w:hAnsi="Arial"/>
          <w:b/>
          <w:bCs/>
          <w:color w:val="1B2631"/>
          <w:sz w:val="22"/>
          <w:szCs w:val="22"/>
        </w:rPr>
        <w:t xml:space="preserve">4.1.4 Route Risk Features</w:t>
      </w:r>
    </w:p>
    <w:p>
      <w:pPr>
        <w:pStyle w:val="ListParagraph"/>
        <w:numPr>
          <w:ilvl w:val="0"/>
          <w:numId w:val="2"/>
        </w:numPr>
        <w:spacing w:before="40" w:after="40"/>
      </w:pPr>
      <w:r>
        <w:rPr>
          <w:rFonts w:ascii="Arial" w:cs="Arial" w:eastAsia="Arial" w:hAnsi="Arial"/>
          <w:b/>
          <w:bCs/>
          <w:color w:val="1B2631"/>
          <w:sz w:val="22"/>
          <w:szCs w:val="22"/>
        </w:rPr>
        <w:t xml:space="preserve">route_risk_score: </w:t>
      </w:r>
      <w:r>
        <w:rPr>
          <w:rFonts w:ascii="Arial" w:cs="Arial" w:eastAsia="Arial" w:hAnsi="Arial"/>
          <w:color w:val="2C3E50"/>
          <w:sz w:val="22"/>
          <w:szCs w:val="22"/>
        </w:rPr>
        <w:t xml:space="preserve">weighted composite — strike (30%), geopolitical risk (30%), negative news sentiment (15%), labor strike indicator (15%), port closure (10%).</w:t>
      </w:r>
    </w:p>
    <w:p>
      <w:pPr>
        <w:pStyle w:val="ListParagraph"/>
        <w:numPr>
          <w:ilvl w:val="0"/>
          <w:numId w:val="2"/>
        </w:numPr>
        <w:spacing w:before="40" w:after="40"/>
      </w:pPr>
      <w:r>
        <w:rPr>
          <w:rFonts w:ascii="Arial" w:cs="Arial" w:eastAsia="Arial" w:hAnsi="Arial"/>
          <w:b/>
          <w:bCs/>
          <w:color w:val="1B2631"/>
          <w:sz w:val="22"/>
          <w:szCs w:val="22"/>
        </w:rPr>
        <w:t xml:space="preserve">geopolit_x_strike / combined_disruption / fuel_x_risk: </w:t>
      </w:r>
      <w:r>
        <w:rPr>
          <w:rFonts w:ascii="Arial" w:cs="Arial" w:eastAsia="Arial" w:hAnsi="Arial"/>
          <w:color w:val="2C3E50"/>
          <w:sz w:val="22"/>
          <w:szCs w:val="22"/>
        </w:rPr>
        <w:t xml:space="preserve">interaction and additive risk signals.</w:t>
      </w:r>
    </w:p>
    <w:p>
      <w:pPr>
        <w:spacing w:before="40" w:after="0"/>
      </w:pPr>
    </w:p>
    <w:p>
      <w:pPr>
        <w:pStyle w:val="Heading3"/>
        <w:spacing w:before="180" w:after="40"/>
      </w:pPr>
      <w:r>
        <w:rPr>
          <w:rFonts w:ascii="Arial" w:cs="Arial" w:eastAsia="Arial" w:hAnsi="Arial"/>
          <w:b/>
          <w:bCs/>
          <w:color w:val="1B2631"/>
          <w:sz w:val="22"/>
          <w:szCs w:val="22"/>
        </w:rPr>
        <w:t xml:space="preserve">4.1.5 Temporal &amp; Lag Features</w:t>
      </w:r>
    </w:p>
    <w:p>
      <w:pPr>
        <w:pStyle w:val="ListParagraph"/>
        <w:numPr>
          <w:ilvl w:val="0"/>
          <w:numId w:val="2"/>
        </w:numPr>
        <w:spacing w:before="40" w:after="40"/>
      </w:pPr>
      <w:r>
        <w:rPr>
          <w:rFonts w:ascii="Arial" w:cs="Arial" w:eastAsia="Arial" w:hAnsi="Arial"/>
          <w:b/>
          <w:bCs/>
          <w:color w:val="1B2631"/>
          <w:sz w:val="22"/>
          <w:szCs w:val="22"/>
        </w:rPr>
        <w:t xml:space="preserve">Time decomposition: </w:t>
      </w:r>
      <w:r>
        <w:rPr>
          <w:rFonts w:ascii="Arial" w:cs="Arial" w:eastAsia="Arial" w:hAnsi="Arial"/>
          <w:color w:val="2C3E50"/>
          <w:sz w:val="22"/>
          <w:szCs w:val="22"/>
        </w:rPr>
        <w:t xml:space="preserve">hour, day_of_week, month, quarter, is_weekend, is_peak_season (Nov–Dec), is_monsoon (Jun–Sep).</w:t>
      </w:r>
    </w:p>
    <w:p>
      <w:pPr>
        <w:pStyle w:val="ListParagraph"/>
        <w:numPr>
          <w:ilvl w:val="0"/>
          <w:numId w:val="2"/>
        </w:numPr>
        <w:spacing w:before="40" w:after="40"/>
      </w:pPr>
      <w:r>
        <w:rPr>
          <w:rFonts w:ascii="Arial" w:cs="Arial" w:eastAsia="Arial" w:hAnsi="Arial"/>
          <w:b/>
          <w:bCs/>
          <w:color w:val="1B2631"/>
          <w:sz w:val="22"/>
          <w:szCs w:val="22"/>
        </w:rPr>
        <w:t xml:space="preserve">Target-encoded historical delay rates: </w:t>
      </w:r>
      <w:r>
        <w:rPr>
          <w:rFonts w:ascii="Arial" w:cs="Arial" w:eastAsia="Arial" w:hAnsi="Arial"/>
          <w:color w:val="2C3E50"/>
          <w:sz w:val="22"/>
          <w:szCs w:val="22"/>
        </w:rPr>
        <w:t xml:space="preserve">port, destination, carrier, route, and carrier-route expanding means (shift=1, no leakage).</w:t>
      </w:r>
    </w:p>
    <w:p>
      <w:pPr>
        <w:pStyle w:val="ListParagraph"/>
        <w:numPr>
          <w:ilvl w:val="0"/>
          <w:numId w:val="2"/>
        </w:numPr>
        <w:spacing w:before="40" w:after="40"/>
      </w:pPr>
      <w:r>
        <w:rPr>
          <w:rFonts w:ascii="Arial" w:cs="Arial" w:eastAsia="Arial" w:hAnsi="Arial"/>
          <w:b/>
          <w:bCs/>
          <w:color w:val="1B2631"/>
          <w:sz w:val="22"/>
          <w:szCs w:val="22"/>
        </w:rPr>
        <w:t xml:space="preserve">Rolling delay rates: </w:t>
      </w:r>
      <w:r>
        <w:rPr>
          <w:rFonts w:ascii="Arial" w:cs="Arial" w:eastAsia="Arial" w:hAnsi="Arial"/>
          <w:color w:val="2C3E50"/>
          <w:sz w:val="22"/>
          <w:szCs w:val="22"/>
        </w:rPr>
        <w:t xml:space="preserve">port_delay_7d, port_delay_30d, carrier_delay_30d.</w:t>
      </w:r>
    </w:p>
    <w:p>
      <w:pPr>
        <w:pStyle w:val="ListParagraph"/>
        <w:numPr>
          <w:ilvl w:val="0"/>
          <w:numId w:val="2"/>
        </w:numPr>
        <w:spacing w:before="40" w:after="40"/>
      </w:pPr>
      <w:r>
        <w:rPr>
          <w:rFonts w:ascii="Arial" w:cs="Arial" w:eastAsia="Arial" w:hAnsi="Arial"/>
          <w:b/>
          <w:bCs/>
          <w:color w:val="1B2631"/>
          <w:sz w:val="22"/>
          <w:szCs w:val="22"/>
        </w:rPr>
        <w:t xml:space="preserve">Lag features: </w:t>
      </w:r>
      <w:r>
        <w:rPr>
          <w:rFonts w:ascii="Arial" w:cs="Arial" w:eastAsia="Arial" w:hAnsi="Arial"/>
          <w:color w:val="2C3E50"/>
          <w:sz w:val="22"/>
          <w:szCs w:val="22"/>
        </w:rPr>
        <w:t xml:space="preserve">delay_lag1, delay_lag3, delay_lag7 per origin port.</w:t>
      </w:r>
    </w:p>
    <w:p>
      <w:pPr>
        <w:pStyle w:val="ListParagraph"/>
        <w:numPr>
          <w:ilvl w:val="0"/>
          <w:numId w:val="2"/>
        </w:numPr>
        <w:spacing w:before="40" w:after="40"/>
      </w:pPr>
      <w:r>
        <w:rPr>
          <w:rFonts w:ascii="Arial" w:cs="Arial" w:eastAsia="Arial" w:hAnsi="Arial"/>
          <w:b/>
          <w:bCs/>
          <w:color w:val="1B2631"/>
          <w:sz w:val="22"/>
          <w:szCs w:val="22"/>
        </w:rPr>
        <w:t xml:space="preserve">Operational lags: </w:t>
      </w:r>
      <w:r>
        <w:rPr>
          <w:rFonts w:ascii="Arial" w:cs="Arial" w:eastAsia="Arial" w:hAnsi="Arial"/>
          <w:color w:val="2C3E50"/>
          <w:sz w:val="22"/>
          <w:szCs w:val="22"/>
        </w:rPr>
        <w:t xml:space="preserve">1-day, 3-day lags and 7-day, 14-day rolling means for 7 congestion/risk metrics.</w:t>
      </w:r>
    </w:p>
    <w:p>
      <w:pPr>
        <w:spacing w:before="40" w:after="0"/>
      </w:pPr>
    </w:p>
    <w:p>
      <w:pPr>
        <w:pStyle w:val="Heading3"/>
        <w:spacing w:before="180" w:after="40"/>
      </w:pPr>
      <w:r>
        <w:rPr>
          <w:rFonts w:ascii="Arial" w:cs="Arial" w:eastAsia="Arial" w:hAnsi="Arial"/>
          <w:b/>
          <w:bCs/>
          <w:color w:val="1B2631"/>
          <w:sz w:val="22"/>
          <w:szCs w:val="22"/>
        </w:rPr>
        <w:t xml:space="preserve">4.1.6 Anomaly Detection</w:t>
      </w:r>
    </w:p>
    <w:p>
      <w:pPr>
        <w:spacing w:before="60" w:after="60"/>
      </w:pPr>
      <w:r>
        <w:rPr>
          <w:rFonts w:ascii="Arial" w:cs="Arial" w:eastAsia="Arial" w:hAnsi="Arial"/>
          <w:color w:val="2C3E50"/>
          <w:sz w:val="22"/>
          <w:szCs w:val="22"/>
        </w:rPr>
        <w:t xml:space="preserve">Isolation Forest (200 estimators, 5% contamination) trained on 11 operational signals produced anomaly_score and is_anomaly features. Flagged ~5% of shipments as anomalous; these records showed significantly higher observed delay rates, confirming anomaly score as a strong complementary signal.</w:t>
      </w:r>
    </w:p>
    <w:p>
      <w:pPr>
        <w:spacing w:before="80" w:after="0"/>
      </w:pPr>
    </w:p>
    <w:p>
      <w:pPr>
        <w:pStyle w:val="Heading2"/>
        <w:spacing w:before="240" w:after="60"/>
      </w:pPr>
      <w:r>
        <w:rPr>
          <w:rFonts w:ascii="Arial" w:cs="Arial" w:eastAsia="Arial" w:hAnsi="Arial"/>
          <w:b/>
          <w:bCs/>
          <w:color w:val="148F77"/>
          <w:sz w:val="24"/>
          <w:szCs w:val="24"/>
        </w:rPr>
        <w:t xml:space="preserve">4.2 Model Benchmarking</w:t>
      </w:r>
    </w:p>
    <w:p>
      <w:pPr>
        <w:spacing w:before="60" w:after="60"/>
      </w:pPr>
      <w:r>
        <w:rPr>
          <w:rFonts w:ascii="Arial" w:cs="Arial" w:eastAsia="Arial" w:hAnsi="Arial"/>
          <w:color w:val="2C3E50"/>
          <w:sz w:val="22"/>
          <w:szCs w:val="22"/>
        </w:rPr>
        <w:t xml:space="preserve">Two models were benchmarked on a strict 80/20 chronological split (no random shuffle) to preserve temporal order and prevent look-ahead leakage.</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380"/>
        <w:gridCol w:w="1380"/>
        <w:gridCol w:w="2100"/>
        <w:gridCol w:w="1900"/>
      </w:tblGrid>
      <w:tr>
        <w:tc>
          <w:tcPr>
            <w:tcW w:type="dxa" w:w="2600"/>
            <w:tcBorders>
              <w:top w:val="single" w:color="D5D8DC" w:sz="4"/>
              <w:left w:val="single" w:color="D5D8DC" w:sz="4"/>
              <w:bottom w:val="single" w:color="D5D8DC" w:sz="4"/>
              <w:right w:val="single" w:color="D5D8DC" w:sz="4"/>
            </w:tcBorders>
            <w:shd w:fill="1A527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Model</w:t>
            </w:r>
          </w:p>
        </w:tc>
        <w:tc>
          <w:tcPr>
            <w:tcW w:type="dxa" w:w="1380"/>
            <w:tcBorders>
              <w:top w:val="single" w:color="D5D8DC" w:sz="4"/>
              <w:left w:val="single" w:color="D5D8DC" w:sz="4"/>
              <w:bottom w:val="single" w:color="D5D8DC" w:sz="4"/>
              <w:right w:val="single" w:color="D5D8DC" w:sz="4"/>
            </w:tcBorders>
            <w:shd w:fill="1A527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Accuracy</w:t>
            </w:r>
          </w:p>
        </w:tc>
        <w:tc>
          <w:tcPr>
            <w:tcW w:type="dxa" w:w="1380"/>
            <w:tcBorders>
              <w:top w:val="single" w:color="D5D8DC" w:sz="4"/>
              <w:left w:val="single" w:color="D5D8DC" w:sz="4"/>
              <w:bottom w:val="single" w:color="D5D8DC" w:sz="4"/>
              <w:right w:val="single" w:color="D5D8DC" w:sz="4"/>
            </w:tcBorders>
            <w:shd w:fill="1A527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AUC-ROC</w:t>
            </w:r>
          </w:p>
        </w:tc>
        <w:tc>
          <w:tcPr>
            <w:tcW w:type="dxa" w:w="2100"/>
            <w:tcBorders>
              <w:top w:val="single" w:color="D5D8DC" w:sz="4"/>
              <w:left w:val="single" w:color="D5D8DC" w:sz="4"/>
              <w:bottom w:val="single" w:color="D5D8DC" w:sz="4"/>
              <w:right w:val="single" w:color="D5D8DC" w:sz="4"/>
            </w:tcBorders>
            <w:shd w:fill="1A527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Precision (Delayed)</w:t>
            </w:r>
          </w:p>
        </w:tc>
        <w:tc>
          <w:tcPr>
            <w:tcW w:type="dxa" w:w="1900"/>
            <w:tcBorders>
              <w:top w:val="single" w:color="D5D8DC" w:sz="4"/>
              <w:left w:val="single" w:color="D5D8DC" w:sz="4"/>
              <w:bottom w:val="single" w:color="D5D8DC" w:sz="4"/>
              <w:right w:val="single" w:color="D5D8DC" w:sz="4"/>
            </w:tcBorders>
            <w:shd w:fill="1A527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CV Mean (5-fold TSS)</w:t>
            </w:r>
          </w:p>
        </w:tc>
      </w:tr>
      <w:tr>
        <w:tc>
          <w:tcPr>
            <w:tcW w:type="dxa" w:w="2600"/>
            <w:tcBorders>
              <w:top w:val="single" w:color="D5D8DC" w:sz="4"/>
              <w:left w:val="single" w:color="D5D8DC" w:sz="4"/>
              <w:bottom w:val="single" w:color="D5D8DC" w:sz="4"/>
              <w:right w:val="single" w:color="D5D8DC" w:sz="4"/>
            </w:tcBorders>
            <w:shd w:fill="FDFEFE"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HistGradientBoosting</w:t>
            </w:r>
          </w:p>
        </w:tc>
        <w:tc>
          <w:tcPr>
            <w:tcW w:type="dxa" w:w="1380"/>
            <w:tcBorders>
              <w:top w:val="single" w:color="D5D8DC" w:sz="4"/>
              <w:left w:val="single" w:color="D5D8DC" w:sz="4"/>
              <w:bottom w:val="single" w:color="D5D8DC" w:sz="4"/>
              <w:right w:val="single" w:color="D5D8DC" w:sz="4"/>
            </w:tcBorders>
            <w:shd w:fill="FDFEFE"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75.37%</w:t>
            </w:r>
          </w:p>
        </w:tc>
        <w:tc>
          <w:tcPr>
            <w:tcW w:type="dxa" w:w="1380"/>
            <w:tcBorders>
              <w:top w:val="single" w:color="D5D8DC" w:sz="4"/>
              <w:left w:val="single" w:color="D5D8DC" w:sz="4"/>
              <w:bottom w:val="single" w:color="D5D8DC" w:sz="4"/>
              <w:right w:val="single" w:color="D5D8DC" w:sz="4"/>
            </w:tcBorders>
            <w:shd w:fill="FDFEFE"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0.7730</w:t>
            </w:r>
          </w:p>
        </w:tc>
        <w:tc>
          <w:tcPr>
            <w:tcW w:type="dxa" w:w="2100"/>
            <w:tcBorders>
              <w:top w:val="single" w:color="D5D8DC" w:sz="4"/>
              <w:left w:val="single" w:color="D5D8DC" w:sz="4"/>
              <w:bottom w:val="single" w:color="D5D8DC" w:sz="4"/>
              <w:right w:val="single" w:color="D5D8DC" w:sz="4"/>
            </w:tcBorders>
            <w:shd w:fill="FDFEFE"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99%</w:t>
            </w:r>
          </w:p>
        </w:tc>
        <w:tc>
          <w:tcPr>
            <w:tcW w:type="dxa" w:w="1900"/>
            <w:tcBorders>
              <w:top w:val="single" w:color="D5D8DC" w:sz="4"/>
              <w:left w:val="single" w:color="D5D8DC" w:sz="4"/>
              <w:bottom w:val="single" w:color="D5D8DC" w:sz="4"/>
              <w:right w:val="single" w:color="D5D8DC" w:sz="4"/>
            </w:tcBorders>
            <w:shd w:fill="FDFEFE"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0.7520 ± 0.0102</w:t>
            </w:r>
          </w:p>
        </w:tc>
      </w:tr>
      <w:tr>
        <w:tc>
          <w:tcPr>
            <w:tcW w:type="dxa" w:w="26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Random Forest</w:t>
            </w:r>
          </w:p>
        </w:tc>
        <w:tc>
          <w:tcPr>
            <w:tcW w:type="dxa" w:w="138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75.24%</w:t>
            </w:r>
          </w:p>
        </w:tc>
        <w:tc>
          <w:tcPr>
            <w:tcW w:type="dxa" w:w="138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0.7795</w:t>
            </w:r>
          </w:p>
        </w:tc>
        <w:tc>
          <w:tcPr>
            <w:tcW w:type="dxa" w:w="21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96%</w:t>
            </w:r>
          </w:p>
        </w:tc>
        <w:tc>
          <w:tcPr>
            <w:tcW w:type="dxa" w:w="19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0.7572 ± 0.0058</w:t>
            </w:r>
          </w:p>
        </w:tc>
      </w:tr>
    </w:tbl>
    <w:p>
      <w:pPr>
        <w:spacing w:before="60" w:after="0"/>
      </w:pPr>
    </w:p>
    <w:p>
      <w:pPr>
        <w:spacing w:before="60" w:after="60"/>
      </w:pPr>
      <w:r>
        <w:rPr>
          <w:rFonts w:ascii="Arial" w:cs="Arial" w:eastAsia="Arial" w:hAnsi="Arial"/>
          <w:color w:val="2C3E50"/>
          <w:sz w:val="22"/>
          <w:szCs w:val="22"/>
        </w:rPr>
        <w:t xml:space="preserve">HistGradientBoosting was selected as the final model for GridSearchCV tuning based on its higher precision on delayed shipments (99% vs RF 96%) — the operationally critical metric for a rerouting system where false negatives (missed delays) carry direct operational cost. While Random Forest achieved a marginally higher test AUC-ROC (0.7795 vs 0.7730), HGB's superior delayed-class precision, native handling of missing values, and faster inference made it the better fit for production deployment.</w:t>
      </w:r>
    </w:p>
    <w:p>
      <w:pPr>
        <w:spacing w:before="80" w:after="0"/>
      </w:pPr>
    </w:p>
    <w:p>
      <w:pPr>
        <w:pStyle w:val="Heading2"/>
        <w:spacing w:before="240" w:after="60"/>
      </w:pPr>
      <w:r>
        <w:rPr>
          <w:rFonts w:ascii="Arial" w:cs="Arial" w:eastAsia="Arial" w:hAnsi="Arial"/>
          <w:b/>
          <w:bCs/>
          <w:color w:val="148F77"/>
          <w:sz w:val="24"/>
          <w:szCs w:val="24"/>
        </w:rPr>
        <w:t xml:space="preserve">4.3 Time-Series Cross-Validation</w:t>
      </w:r>
    </w:p>
    <w:p>
      <w:pPr>
        <w:spacing w:before="60" w:after="60"/>
      </w:pPr>
      <w:r>
        <w:rPr>
          <w:rFonts w:ascii="Arial" w:cs="Arial" w:eastAsia="Arial" w:hAnsi="Arial"/>
          <w:color w:val="2C3E50"/>
          <w:sz w:val="22"/>
          <w:szCs w:val="22"/>
        </w:rPr>
        <w:t xml:space="preserve">A 5-fold TimeSeriesSplit cross-validation was run on the full dataset to assess model stability across different temporal windows — a critical check for any logistics forecasting system where temporal autocorrelation and regime shifts (e.g., seasonal congestion, geopolitical shocks) can cause performance to vary across time periods.</w:t>
      </w:r>
    </w:p>
    <w:p>
      <w:pPr>
        <w:spacing w:before="60" w:after="0"/>
      </w:pPr>
    </w:p>
    <w:p>
      <w:pPr>
        <w:pStyle w:val="Heading3"/>
        <w:spacing w:before="180" w:after="40"/>
      </w:pPr>
      <w:r>
        <w:rPr>
          <w:rFonts w:ascii="Arial" w:cs="Arial" w:eastAsia="Arial" w:hAnsi="Arial"/>
          <w:b/>
          <w:bCs/>
          <w:color w:val="1B2631"/>
          <w:sz w:val="22"/>
          <w:szCs w:val="22"/>
        </w:rPr>
        <w:t xml:space="preserve">Why TimeSeriesSplit and Not Standard K-Fold</w:t>
      </w:r>
    </w:p>
    <w:p>
      <w:pPr>
        <w:spacing w:before="60" w:after="60"/>
      </w:pPr>
      <w:r>
        <w:rPr>
          <w:rFonts w:ascii="Arial" w:cs="Arial" w:eastAsia="Arial" w:hAnsi="Arial"/>
          <w:color w:val="2C3E50"/>
          <w:sz w:val="22"/>
          <w:szCs w:val="22"/>
        </w:rPr>
        <w:t xml:space="preserve">Standard k-fold CV shuffles records randomly, allowing future data to leak into training folds. For a dataset ordered by shipment timestamp, this produces artificially inflated accuracy estimates. TimeSeriesSplit ensures each fold trains only on past observations relative to its validation set — matching how the model operates in production.</w:t>
      </w:r>
    </w:p>
    <w:p>
      <w:pPr>
        <w:spacing w:before="60" w:after="0"/>
      </w:pPr>
    </w:p>
    <w:p>
      <w:pPr>
        <w:pStyle w:val="Heading3"/>
        <w:spacing w:before="180" w:after="40"/>
      </w:pPr>
      <w:r>
        <w:rPr>
          <w:rFonts w:ascii="Arial" w:cs="Arial" w:eastAsia="Arial" w:hAnsi="Arial"/>
          <w:b/>
          <w:bCs/>
          <w:color w:val="1B2631"/>
          <w:sz w:val="22"/>
          <w:szCs w:val="22"/>
        </w:rPr>
        <w:t xml:space="preserve">Cross-Validation Results</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860"/>
        <w:gridCol w:w="860"/>
        <w:gridCol w:w="860"/>
        <w:gridCol w:w="860"/>
        <w:gridCol w:w="860"/>
        <w:gridCol w:w="1260"/>
        <w:gridCol w:w="1160"/>
      </w:tblGrid>
      <w:tr>
        <w:tc>
          <w:tcPr>
            <w:tcW w:type="dxa" w:w="2640"/>
            <w:tcBorders>
              <w:top w:val="single" w:color="D5D8DC" w:sz="4"/>
              <w:left w:val="single" w:color="D5D8DC" w:sz="4"/>
              <w:bottom w:val="single" w:color="D5D8DC" w:sz="4"/>
              <w:right w:val="single" w:color="D5D8DC" w:sz="4"/>
            </w:tcBorders>
            <w:shd w:fill="1A527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Model</w:t>
            </w:r>
          </w:p>
        </w:tc>
        <w:tc>
          <w:tcPr>
            <w:tcW w:type="dxa" w:w="860"/>
            <w:tcBorders>
              <w:top w:val="single" w:color="D5D8DC" w:sz="4"/>
              <w:left w:val="single" w:color="D5D8DC" w:sz="4"/>
              <w:bottom w:val="single" w:color="D5D8DC" w:sz="4"/>
              <w:right w:val="single" w:color="D5D8DC" w:sz="4"/>
            </w:tcBorders>
            <w:shd w:fill="1A527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Fold 1</w:t>
            </w:r>
          </w:p>
        </w:tc>
        <w:tc>
          <w:tcPr>
            <w:tcW w:type="dxa" w:w="860"/>
            <w:tcBorders>
              <w:top w:val="single" w:color="D5D8DC" w:sz="4"/>
              <w:left w:val="single" w:color="D5D8DC" w:sz="4"/>
              <w:bottom w:val="single" w:color="D5D8DC" w:sz="4"/>
              <w:right w:val="single" w:color="D5D8DC" w:sz="4"/>
            </w:tcBorders>
            <w:shd w:fill="1A527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Fold 2</w:t>
            </w:r>
          </w:p>
        </w:tc>
        <w:tc>
          <w:tcPr>
            <w:tcW w:type="dxa" w:w="860"/>
            <w:tcBorders>
              <w:top w:val="single" w:color="D5D8DC" w:sz="4"/>
              <w:left w:val="single" w:color="D5D8DC" w:sz="4"/>
              <w:bottom w:val="single" w:color="D5D8DC" w:sz="4"/>
              <w:right w:val="single" w:color="D5D8DC" w:sz="4"/>
            </w:tcBorders>
            <w:shd w:fill="1A527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Fold 3</w:t>
            </w:r>
          </w:p>
        </w:tc>
        <w:tc>
          <w:tcPr>
            <w:tcW w:type="dxa" w:w="860"/>
            <w:tcBorders>
              <w:top w:val="single" w:color="D5D8DC" w:sz="4"/>
              <w:left w:val="single" w:color="D5D8DC" w:sz="4"/>
              <w:bottom w:val="single" w:color="D5D8DC" w:sz="4"/>
              <w:right w:val="single" w:color="D5D8DC" w:sz="4"/>
            </w:tcBorders>
            <w:shd w:fill="1A527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Fold 4</w:t>
            </w:r>
          </w:p>
        </w:tc>
        <w:tc>
          <w:tcPr>
            <w:tcW w:type="dxa" w:w="860"/>
            <w:tcBorders>
              <w:top w:val="single" w:color="D5D8DC" w:sz="4"/>
              <w:left w:val="single" w:color="D5D8DC" w:sz="4"/>
              <w:bottom w:val="single" w:color="D5D8DC" w:sz="4"/>
              <w:right w:val="single" w:color="D5D8DC" w:sz="4"/>
            </w:tcBorders>
            <w:shd w:fill="1A527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Fold 5</w:t>
            </w:r>
          </w:p>
        </w:tc>
        <w:tc>
          <w:tcPr>
            <w:tcW w:type="dxa" w:w="1260"/>
            <w:tcBorders>
              <w:top w:val="single" w:color="D5D8DC" w:sz="4"/>
              <w:left w:val="single" w:color="D5D8DC" w:sz="4"/>
              <w:bottom w:val="single" w:color="D5D8DC" w:sz="4"/>
              <w:right w:val="single" w:color="D5D8DC" w:sz="4"/>
            </w:tcBorders>
            <w:shd w:fill="1A527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Mean Acc</w:t>
            </w:r>
          </w:p>
        </w:tc>
        <w:tc>
          <w:tcPr>
            <w:tcW w:type="dxa" w:w="1160"/>
            <w:tcBorders>
              <w:top w:val="single" w:color="D5D8DC" w:sz="4"/>
              <w:left w:val="single" w:color="D5D8DC" w:sz="4"/>
              <w:bottom w:val="single" w:color="D5D8DC" w:sz="4"/>
              <w:right w:val="single" w:color="D5D8DC" w:sz="4"/>
            </w:tcBorders>
            <w:shd w:fill="1A527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Std</w:t>
            </w:r>
          </w:p>
        </w:tc>
      </w:tr>
      <w:tr>
        <w:tc>
          <w:tcPr>
            <w:tcW w:type="dxa" w:w="2640"/>
            <w:tcBorders>
              <w:top w:val="single" w:color="D5D8DC" w:sz="4"/>
              <w:left w:val="single" w:color="D5D8DC" w:sz="4"/>
              <w:bottom w:val="single" w:color="D5D8DC" w:sz="4"/>
              <w:right w:val="single" w:color="D5D8DC" w:sz="4"/>
            </w:tcBorders>
            <w:shd w:fill="FDFEFE"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HistGradientBoosting</w:t>
            </w:r>
          </w:p>
        </w:tc>
        <w:tc>
          <w:tcPr>
            <w:tcW w:type="dxa" w:w="860"/>
            <w:tcBorders>
              <w:top w:val="single" w:color="D5D8DC" w:sz="4"/>
              <w:left w:val="single" w:color="D5D8DC" w:sz="4"/>
              <w:bottom w:val="single" w:color="D5D8DC" w:sz="4"/>
              <w:right w:val="single" w:color="D5D8DC" w:sz="4"/>
            </w:tcBorders>
            <w:shd w:fill="FDFEFE"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~0.742</w:t>
            </w:r>
          </w:p>
        </w:tc>
        <w:tc>
          <w:tcPr>
            <w:tcW w:type="dxa" w:w="860"/>
            <w:tcBorders>
              <w:top w:val="single" w:color="D5D8DC" w:sz="4"/>
              <w:left w:val="single" w:color="D5D8DC" w:sz="4"/>
              <w:bottom w:val="single" w:color="D5D8DC" w:sz="4"/>
              <w:right w:val="single" w:color="D5D8DC" w:sz="4"/>
            </w:tcBorders>
            <w:shd w:fill="FDFEFE"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~0.748</w:t>
            </w:r>
          </w:p>
        </w:tc>
        <w:tc>
          <w:tcPr>
            <w:tcW w:type="dxa" w:w="860"/>
            <w:tcBorders>
              <w:top w:val="single" w:color="D5D8DC" w:sz="4"/>
              <w:left w:val="single" w:color="D5D8DC" w:sz="4"/>
              <w:bottom w:val="single" w:color="D5D8DC" w:sz="4"/>
              <w:right w:val="single" w:color="D5D8DC" w:sz="4"/>
            </w:tcBorders>
            <w:shd w:fill="FDFEFE"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~0.754</w:t>
            </w:r>
          </w:p>
        </w:tc>
        <w:tc>
          <w:tcPr>
            <w:tcW w:type="dxa" w:w="860"/>
            <w:tcBorders>
              <w:top w:val="single" w:color="D5D8DC" w:sz="4"/>
              <w:left w:val="single" w:color="D5D8DC" w:sz="4"/>
              <w:bottom w:val="single" w:color="D5D8DC" w:sz="4"/>
              <w:right w:val="single" w:color="D5D8DC" w:sz="4"/>
            </w:tcBorders>
            <w:shd w:fill="FDFEFE"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~0.759</w:t>
            </w:r>
          </w:p>
        </w:tc>
        <w:tc>
          <w:tcPr>
            <w:tcW w:type="dxa" w:w="860"/>
            <w:tcBorders>
              <w:top w:val="single" w:color="D5D8DC" w:sz="4"/>
              <w:left w:val="single" w:color="D5D8DC" w:sz="4"/>
              <w:bottom w:val="single" w:color="D5D8DC" w:sz="4"/>
              <w:right w:val="single" w:color="D5D8DC" w:sz="4"/>
            </w:tcBorders>
            <w:shd w:fill="FDFEFE"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~0.756</w:t>
            </w:r>
          </w:p>
        </w:tc>
        <w:tc>
          <w:tcPr>
            <w:tcW w:type="dxa" w:w="1260"/>
            <w:tcBorders>
              <w:top w:val="single" w:color="D5D8DC" w:sz="4"/>
              <w:left w:val="single" w:color="D5D8DC" w:sz="4"/>
              <w:bottom w:val="single" w:color="D5D8DC" w:sz="4"/>
              <w:right w:val="single" w:color="D5D8DC" w:sz="4"/>
            </w:tcBorders>
            <w:shd w:fill="FDFEFE"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0.7520</w:t>
            </w:r>
          </w:p>
        </w:tc>
        <w:tc>
          <w:tcPr>
            <w:tcW w:type="dxa" w:w="1160"/>
            <w:tcBorders>
              <w:top w:val="single" w:color="D5D8DC" w:sz="4"/>
              <w:left w:val="single" w:color="D5D8DC" w:sz="4"/>
              <w:bottom w:val="single" w:color="D5D8DC" w:sz="4"/>
              <w:right w:val="single" w:color="D5D8DC" w:sz="4"/>
            </w:tcBorders>
            <w:shd w:fill="FDFEFE"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±0.0102</w:t>
            </w:r>
          </w:p>
        </w:tc>
      </w:tr>
      <w:tr>
        <w:tc>
          <w:tcPr>
            <w:tcW w:type="dxa" w:w="264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Random Forest</w:t>
            </w:r>
          </w:p>
        </w:tc>
        <w:tc>
          <w:tcPr>
            <w:tcW w:type="dxa" w:w="86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~0.750</w:t>
            </w:r>
          </w:p>
        </w:tc>
        <w:tc>
          <w:tcPr>
            <w:tcW w:type="dxa" w:w="86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~0.755</w:t>
            </w:r>
          </w:p>
        </w:tc>
        <w:tc>
          <w:tcPr>
            <w:tcW w:type="dxa" w:w="86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~0.759</w:t>
            </w:r>
          </w:p>
        </w:tc>
        <w:tc>
          <w:tcPr>
            <w:tcW w:type="dxa" w:w="86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~0.762</w:t>
            </w:r>
          </w:p>
        </w:tc>
        <w:tc>
          <w:tcPr>
            <w:tcW w:type="dxa" w:w="86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~0.758</w:t>
            </w:r>
          </w:p>
        </w:tc>
        <w:tc>
          <w:tcPr>
            <w:tcW w:type="dxa" w:w="126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0.7572</w:t>
            </w:r>
          </w:p>
        </w:tc>
        <w:tc>
          <w:tcPr>
            <w:tcW w:type="dxa" w:w="116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±0.0058</w:t>
            </w:r>
          </w:p>
        </w:tc>
      </w:tr>
    </w:tbl>
    <w:p>
      <w:pPr>
        <w:spacing w:before="60" w:after="0"/>
      </w:pPr>
    </w:p>
    <w:p>
      <w:pPr>
        <w:pStyle w:val="ListParagraph"/>
        <w:numPr>
          <w:ilvl w:val="0"/>
          <w:numId w:val="2"/>
        </w:numPr>
        <w:spacing w:before="40" w:after="40"/>
      </w:pPr>
      <w:r>
        <w:rPr>
          <w:rFonts w:ascii="Arial" w:cs="Arial" w:eastAsia="Arial" w:hAnsi="Arial"/>
          <w:b/>
          <w:bCs/>
          <w:color w:val="1B2631"/>
          <w:sz w:val="22"/>
          <w:szCs w:val="22"/>
        </w:rPr>
        <w:t xml:space="preserve">Random Forest showed lower variance </w:t>
      </w:r>
      <w:r>
        <w:rPr>
          <w:rFonts w:ascii="Arial" w:cs="Arial" w:eastAsia="Arial" w:hAnsi="Arial"/>
          <w:color w:val="2C3E50"/>
          <w:sz w:val="22"/>
          <w:szCs w:val="22"/>
        </w:rPr>
        <w:t xml:space="preserve">across folds (std 0.0058 vs 0.0102) — more consistent generalization across temporal windows.</w:t>
      </w:r>
    </w:p>
    <w:p>
      <w:pPr>
        <w:pStyle w:val="ListParagraph"/>
        <w:numPr>
          <w:ilvl w:val="0"/>
          <w:numId w:val="2"/>
        </w:numPr>
        <w:spacing w:before="40" w:after="40"/>
      </w:pPr>
      <w:r>
        <w:rPr>
          <w:rFonts w:ascii="Arial" w:cs="Arial" w:eastAsia="Arial" w:hAnsi="Arial"/>
          <w:b/>
          <w:bCs/>
          <w:color w:val="1B2631"/>
          <w:sz w:val="22"/>
          <w:szCs w:val="22"/>
        </w:rPr>
        <w:t xml:space="preserve">Random Forest achieved higher test AUC-ROC </w:t>
      </w:r>
      <w:r>
        <w:rPr>
          <w:rFonts w:ascii="Arial" w:cs="Arial" w:eastAsia="Arial" w:hAnsi="Arial"/>
          <w:color w:val="2C3E50"/>
          <w:sz w:val="22"/>
          <w:szCs w:val="22"/>
        </w:rPr>
        <w:t xml:space="preserve">(0.7795 vs HGB 0.7730), and also led on CV accuracy (0.7572 vs 0.7520). HGB was ultimately selected for tuning due to its higher precision on delayed shipments (99% vs 96%) and production advantages (missing value handling, inference speed).</w:t>
      </w:r>
    </w:p>
    <w:p>
      <w:pPr>
        <w:pStyle w:val="ListParagraph"/>
        <w:numPr>
          <w:ilvl w:val="0"/>
          <w:numId w:val="2"/>
        </w:numPr>
        <w:spacing w:before="40" w:after="40"/>
      </w:pPr>
      <w:r>
        <w:rPr>
          <w:rFonts w:ascii="Arial" w:cs="Arial" w:eastAsia="Arial" w:hAnsi="Arial"/>
          <w:b/>
          <w:bCs/>
          <w:color w:val="1B2631"/>
          <w:sz w:val="22"/>
          <w:szCs w:val="22"/>
        </w:rPr>
        <w:t xml:space="preserve">Low std across both models </w:t>
      </w:r>
      <w:r>
        <w:rPr>
          <w:rFonts w:ascii="Arial" w:cs="Arial" w:eastAsia="Arial" w:hAnsi="Arial"/>
          <w:color w:val="2C3E50"/>
          <w:sz w:val="22"/>
          <w:szCs w:val="22"/>
        </w:rPr>
        <w:t xml:space="preserve">confirms that rolling lag and historical rate features provide stable, non-overfitted signal across time.</w:t>
      </w:r>
    </w:p>
    <w:p>
      <w:r>
        <w:br w:type="page"/>
      </w:r>
    </w:p>
    <w:p>
      <w:pPr>
        <w:pStyle w:val="Heading1"/>
        <w:spacing w:before="340" w:after="80"/>
      </w:pPr>
      <w:r>
        <w:rPr>
          <w:rFonts w:ascii="Arial" w:cs="Arial" w:eastAsia="Arial" w:hAnsi="Arial"/>
          <w:b/>
          <w:bCs/>
          <w:color w:val="1A5276"/>
          <w:sz w:val="30"/>
          <w:szCs w:val="30"/>
        </w:rPr>
        <w:t xml:space="preserve">5. Phase 3 — Hyperparameter Tuning, XAI &amp; LangGraph Agent</w:t>
      </w:r>
    </w:p>
    <w:p>
      <w:pPr>
        <w:pBdr>
          <w:bottom w:val="single" w:color="2E86C1" w:sz="6" w:space="1"/>
        </w:pBdr>
        <w:spacing w:before="160" w:after="0"/>
      </w:pPr>
    </w:p>
    <w:p>
      <w:pPr>
        <w:spacing w:before="60" w:after="0"/>
      </w:pPr>
    </w:p>
    <w:p>
      <w:pPr>
        <w:pStyle w:val="Heading2"/>
        <w:spacing w:before="240" w:after="60"/>
      </w:pPr>
      <w:r>
        <w:rPr>
          <w:rFonts w:ascii="Arial" w:cs="Arial" w:eastAsia="Arial" w:hAnsi="Arial"/>
          <w:b/>
          <w:bCs/>
          <w:color w:val="148F77"/>
          <w:sz w:val="24"/>
          <w:szCs w:val="24"/>
        </w:rPr>
        <w:t xml:space="preserve">5.1 Hyperparameter Tuning (GridSearchCV)</w:t>
      </w:r>
    </w:p>
    <w:p>
      <w:pPr>
        <w:spacing w:before="60" w:after="60"/>
      </w:pPr>
      <w:r>
        <w:rPr>
          <w:rFonts w:ascii="Arial" w:cs="Arial" w:eastAsia="Arial" w:hAnsi="Arial"/>
          <w:color w:val="2C3E50"/>
          <w:sz w:val="22"/>
          <w:szCs w:val="22"/>
        </w:rPr>
        <w:t xml:space="preserve">Following model selection, GridSearchCV with TimeSeriesSplit (3 folds) was applied to systematically search the hyperparameter space for HistGradientBoosting. Tuning itself was evaluated on temporally valid folds, avoiding look-ahead bias in the optimization process.</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80"/>
        <w:gridCol w:w="1680"/>
        <w:gridCol w:w="4000"/>
      </w:tblGrid>
      <w:tr>
        <w:tc>
          <w:tcPr>
            <w:tcW w:type="dxa" w:w="2000"/>
            <w:tcBorders>
              <w:top w:val="single" w:color="D5D8DC" w:sz="4"/>
              <w:left w:val="single" w:color="D5D8DC" w:sz="4"/>
              <w:bottom w:val="single" w:color="D5D8DC" w:sz="4"/>
              <w:right w:val="single" w:color="D5D8DC" w:sz="4"/>
            </w:tcBorders>
            <w:shd w:fill="1A527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Parameter</w:t>
            </w:r>
          </w:p>
        </w:tc>
        <w:tc>
          <w:tcPr>
            <w:tcW w:type="dxa" w:w="1680"/>
            <w:tcBorders>
              <w:top w:val="single" w:color="D5D8DC" w:sz="4"/>
              <w:left w:val="single" w:color="D5D8DC" w:sz="4"/>
              <w:bottom w:val="single" w:color="D5D8DC" w:sz="4"/>
              <w:right w:val="single" w:color="D5D8DC" w:sz="4"/>
            </w:tcBorders>
            <w:shd w:fill="1A527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Search Grid</w:t>
            </w:r>
          </w:p>
        </w:tc>
        <w:tc>
          <w:tcPr>
            <w:tcW w:type="dxa" w:w="1680"/>
            <w:tcBorders>
              <w:top w:val="single" w:color="D5D8DC" w:sz="4"/>
              <w:left w:val="single" w:color="D5D8DC" w:sz="4"/>
              <w:bottom w:val="single" w:color="D5D8DC" w:sz="4"/>
              <w:right w:val="single" w:color="D5D8DC" w:sz="4"/>
            </w:tcBorders>
            <w:shd w:fill="1A527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Best Value</w:t>
            </w:r>
          </w:p>
        </w:tc>
        <w:tc>
          <w:tcPr>
            <w:tcW w:type="dxa" w:w="4000"/>
            <w:tcBorders>
              <w:top w:val="single" w:color="D5D8DC" w:sz="4"/>
              <w:left w:val="single" w:color="D5D8DC" w:sz="4"/>
              <w:bottom w:val="single" w:color="D5D8DC" w:sz="4"/>
              <w:right w:val="single" w:color="D5D8DC" w:sz="4"/>
            </w:tcBorders>
            <w:shd w:fill="1A527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Rationale</w:t>
            </w:r>
          </w:p>
        </w:tc>
      </w:tr>
      <w:tr>
        <w:tc>
          <w:tcPr>
            <w:tcW w:type="dxa" w:w="2000"/>
            <w:tcBorders>
              <w:top w:val="single" w:color="D5D8DC" w:sz="4"/>
              <w:left w:val="single" w:color="D5D8DC" w:sz="4"/>
              <w:bottom w:val="single" w:color="D5D8DC" w:sz="4"/>
              <w:right w:val="single" w:color="D5D8DC" w:sz="4"/>
            </w:tcBorders>
            <w:shd w:fill="FDFEFE"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max_iter</w:t>
            </w:r>
          </w:p>
        </w:tc>
        <w:tc>
          <w:tcPr>
            <w:tcW w:type="dxa" w:w="1680"/>
            <w:tcBorders>
              <w:top w:val="single" w:color="D5D8DC" w:sz="4"/>
              <w:left w:val="single" w:color="D5D8DC" w:sz="4"/>
              <w:bottom w:val="single" w:color="D5D8DC" w:sz="4"/>
              <w:right w:val="single" w:color="D5D8DC" w:sz="4"/>
            </w:tcBorders>
            <w:shd w:fill="FDFEFE"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500, 700</w:t>
            </w:r>
          </w:p>
        </w:tc>
        <w:tc>
          <w:tcPr>
            <w:tcW w:type="dxa" w:w="1680"/>
            <w:tcBorders>
              <w:top w:val="single" w:color="D5D8DC" w:sz="4"/>
              <w:left w:val="single" w:color="D5D8DC" w:sz="4"/>
              <w:bottom w:val="single" w:color="D5D8DC" w:sz="4"/>
              <w:right w:val="single" w:color="D5D8DC" w:sz="4"/>
            </w:tcBorders>
            <w:shd w:fill="FDFEFE"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500</w:t>
            </w:r>
          </w:p>
        </w:tc>
        <w:tc>
          <w:tcPr>
            <w:tcW w:type="dxa" w:w="4000"/>
            <w:tcBorders>
              <w:top w:val="single" w:color="D5D8DC" w:sz="4"/>
              <w:left w:val="single" w:color="D5D8DC" w:sz="4"/>
              <w:bottom w:val="single" w:color="D5D8DC" w:sz="4"/>
              <w:right w:val="single" w:color="D5D8DC" w:sz="4"/>
            </w:tcBorders>
            <w:shd w:fill="FDFEFE"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Sufficient iterations without overfitting the temporal holdout</w:t>
            </w:r>
          </w:p>
        </w:tc>
      </w:tr>
      <w:tr>
        <w:tc>
          <w:tcPr>
            <w:tcW w:type="dxa" w:w="20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learning_rate</w:t>
            </w:r>
          </w:p>
        </w:tc>
        <w:tc>
          <w:tcPr>
            <w:tcW w:type="dxa" w:w="168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0.02, 0.04</w:t>
            </w:r>
          </w:p>
        </w:tc>
        <w:tc>
          <w:tcPr>
            <w:tcW w:type="dxa" w:w="168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0.02</w:t>
            </w:r>
          </w:p>
        </w:tc>
        <w:tc>
          <w:tcPr>
            <w:tcW w:type="dxa" w:w="40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Slower shrinkage improves generalization on unseen time periods</w:t>
            </w:r>
          </w:p>
        </w:tc>
      </w:tr>
      <w:tr>
        <w:tc>
          <w:tcPr>
            <w:tcW w:type="dxa" w:w="2000"/>
            <w:tcBorders>
              <w:top w:val="single" w:color="D5D8DC" w:sz="4"/>
              <w:left w:val="single" w:color="D5D8DC" w:sz="4"/>
              <w:bottom w:val="single" w:color="D5D8DC" w:sz="4"/>
              <w:right w:val="single" w:color="D5D8DC" w:sz="4"/>
            </w:tcBorders>
            <w:shd w:fill="FDFEFE"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max_depth</w:t>
            </w:r>
          </w:p>
        </w:tc>
        <w:tc>
          <w:tcPr>
            <w:tcW w:type="dxa" w:w="1680"/>
            <w:tcBorders>
              <w:top w:val="single" w:color="D5D8DC" w:sz="4"/>
              <w:left w:val="single" w:color="D5D8DC" w:sz="4"/>
              <w:bottom w:val="single" w:color="D5D8DC" w:sz="4"/>
              <w:right w:val="single" w:color="D5D8DC" w:sz="4"/>
            </w:tcBorders>
            <w:shd w:fill="FDFEFE"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8, 10</w:t>
            </w:r>
          </w:p>
        </w:tc>
        <w:tc>
          <w:tcPr>
            <w:tcW w:type="dxa" w:w="1680"/>
            <w:tcBorders>
              <w:top w:val="single" w:color="D5D8DC" w:sz="4"/>
              <w:left w:val="single" w:color="D5D8DC" w:sz="4"/>
              <w:bottom w:val="single" w:color="D5D8DC" w:sz="4"/>
              <w:right w:val="single" w:color="D5D8DC" w:sz="4"/>
            </w:tcBorders>
            <w:shd w:fill="FDFEFE"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8</w:t>
            </w:r>
          </w:p>
        </w:tc>
        <w:tc>
          <w:tcPr>
            <w:tcW w:type="dxa" w:w="4000"/>
            <w:tcBorders>
              <w:top w:val="single" w:color="D5D8DC" w:sz="4"/>
              <w:left w:val="single" w:color="D5D8DC" w:sz="4"/>
              <w:bottom w:val="single" w:color="D5D8DC" w:sz="4"/>
              <w:right w:val="single" w:color="D5D8DC" w:sz="4"/>
            </w:tcBorders>
            <w:shd w:fill="FDFEFE"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Moderate depth reduces variance on noisy disruption signals</w:t>
            </w:r>
          </w:p>
        </w:tc>
      </w:tr>
      <w:tr>
        <w:tc>
          <w:tcPr>
            <w:tcW w:type="dxa" w:w="20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min_samples_leaf</w:t>
            </w:r>
          </w:p>
        </w:tc>
        <w:tc>
          <w:tcPr>
            <w:tcW w:type="dxa" w:w="168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6, 10</w:t>
            </w:r>
          </w:p>
        </w:tc>
        <w:tc>
          <w:tcPr>
            <w:tcW w:type="dxa" w:w="168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6</w:t>
            </w:r>
          </w:p>
        </w:tc>
        <w:tc>
          <w:tcPr>
            <w:tcW w:type="dxa" w:w="40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Finer leaf splits benefit 87+ feature dimensionality</w:t>
            </w:r>
          </w:p>
        </w:tc>
      </w:tr>
    </w:tbl>
    <w:p>
      <w:pPr>
        <w:spacing w:before="5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5D8DC" w:sz="4"/>
              <w:left w:val="single" w:color="D5D8DC" w:sz="4"/>
              <w:bottom w:val="single" w:color="D5D8DC" w:sz="4"/>
              <w:right w:val="single" w:color="D5D8DC" w:sz="4"/>
            </w:tcBorders>
            <w:shd w:fill="1A527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Metric</w:t>
            </w:r>
          </w:p>
        </w:tc>
        <w:tc>
          <w:tcPr>
            <w:tcW w:type="dxa" w:w="4680"/>
            <w:tcBorders>
              <w:top w:val="single" w:color="D5D8DC" w:sz="4"/>
              <w:left w:val="single" w:color="D5D8DC" w:sz="4"/>
              <w:bottom w:val="single" w:color="D5D8DC" w:sz="4"/>
              <w:right w:val="single" w:color="D5D8DC" w:sz="4"/>
            </w:tcBorders>
            <w:shd w:fill="1A527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Value</w:t>
            </w:r>
          </w:p>
        </w:tc>
      </w:tr>
      <w:tr>
        <w:tc>
          <w:tcPr>
            <w:tcW w:type="dxa" w:w="4680"/>
            <w:tcBorders>
              <w:top w:val="single" w:color="D5D8DC" w:sz="4"/>
              <w:left w:val="single" w:color="D5D8DC" w:sz="4"/>
              <w:bottom w:val="single" w:color="D5D8DC" w:sz="4"/>
              <w:right w:val="single" w:color="D5D8DC" w:sz="4"/>
            </w:tcBorders>
            <w:shd w:fill="FDFEFE"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Best CV Accuracy (3-fold TSS)</w:t>
            </w:r>
          </w:p>
        </w:tc>
        <w:tc>
          <w:tcPr>
            <w:tcW w:type="dxa" w:w="4680"/>
            <w:tcBorders>
              <w:top w:val="single" w:color="D5D8DC" w:sz="4"/>
              <w:left w:val="single" w:color="D5D8DC" w:sz="4"/>
              <w:bottom w:val="single" w:color="D5D8DC" w:sz="4"/>
              <w:right w:val="single" w:color="D5D8DC" w:sz="4"/>
            </w:tcBorders>
            <w:shd w:fill="FDFEFE"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75.74%</w:t>
            </w:r>
          </w:p>
        </w:tc>
      </w:tr>
      <w:tr>
        <w:tc>
          <w:tcPr>
            <w:tcW w:type="dxa" w:w="468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Test Accuracy (chronological holdout)</w:t>
            </w:r>
          </w:p>
        </w:tc>
        <w:tc>
          <w:tcPr>
            <w:tcW w:type="dxa" w:w="468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75.37%</w:t>
            </w:r>
          </w:p>
        </w:tc>
      </w:tr>
      <w:tr>
        <w:tc>
          <w:tcPr>
            <w:tcW w:type="dxa" w:w="4680"/>
            <w:tcBorders>
              <w:top w:val="single" w:color="D5D8DC" w:sz="4"/>
              <w:left w:val="single" w:color="D5D8DC" w:sz="4"/>
              <w:bottom w:val="single" w:color="D5D8DC" w:sz="4"/>
              <w:right w:val="single" w:color="D5D8DC" w:sz="4"/>
            </w:tcBorders>
            <w:shd w:fill="FDFEFE"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Test AUC-ROC</w:t>
            </w:r>
          </w:p>
        </w:tc>
        <w:tc>
          <w:tcPr>
            <w:tcW w:type="dxa" w:w="4680"/>
            <w:tcBorders>
              <w:top w:val="single" w:color="D5D8DC" w:sz="4"/>
              <w:left w:val="single" w:color="D5D8DC" w:sz="4"/>
              <w:bottom w:val="single" w:color="D5D8DC" w:sz="4"/>
              <w:right w:val="single" w:color="D5D8DC" w:sz="4"/>
            </w:tcBorders>
            <w:shd w:fill="FDFEFE"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0.7708</w:t>
            </w:r>
          </w:p>
        </w:tc>
      </w:tr>
      <w:tr>
        <w:tc>
          <w:tcPr>
            <w:tcW w:type="dxa" w:w="468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Generalization Gap</w:t>
            </w:r>
          </w:p>
        </w:tc>
        <w:tc>
          <w:tcPr>
            <w:tcW w:type="dxa" w:w="468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0.37% — confirms no overfitting</w:t>
            </w:r>
          </w:p>
        </w:tc>
      </w:tr>
    </w:tbl>
    <w:p>
      <w:pPr>
        <w:spacing w:before="60" w:after="0"/>
      </w:pPr>
    </w:p>
    <w:p>
      <w:pPr>
        <w:spacing w:before="60" w:after="60"/>
      </w:pPr>
      <w:r>
        <w:rPr>
          <w:rFonts w:ascii="Arial" w:cs="Arial" w:eastAsia="Arial" w:hAnsi="Arial"/>
          <w:color w:val="2C3E50"/>
          <w:sz w:val="22"/>
          <w:szCs w:val="22"/>
        </w:rPr>
        <w:t xml:space="preserve">The near-zero generalization gap confirms the tuned configuration does not overfit to the training period. The final model bundle (tuned model, feature list, scaler, label encoder) was serialized to logistics_delay_model.pkl for dashboard inference.</w:t>
      </w:r>
    </w:p>
    <w:p>
      <w:pPr>
        <w:spacing w:before="80" w:after="0"/>
      </w:pPr>
    </w:p>
    <w:p>
      <w:pPr>
        <w:pStyle w:val="Heading2"/>
        <w:spacing w:before="240" w:after="60"/>
      </w:pPr>
      <w:r>
        <w:rPr>
          <w:rFonts w:ascii="Arial" w:cs="Arial" w:eastAsia="Arial" w:hAnsi="Arial"/>
          <w:b/>
          <w:bCs/>
          <w:color w:val="148F77"/>
          <w:sz w:val="24"/>
          <w:szCs w:val="24"/>
        </w:rPr>
        <w:t xml:space="preserve">5.2 SHAP-Style Feature Importance (Permutation-Based XAI)</w:t>
      </w:r>
    </w:p>
    <w:p>
      <w:pPr>
        <w:spacing w:before="60" w:after="60"/>
      </w:pPr>
      <w:r>
        <w:rPr>
          <w:rFonts w:ascii="Arial" w:cs="Arial" w:eastAsia="Arial" w:hAnsi="Arial"/>
          <w:color w:val="2C3E50"/>
          <w:sz w:val="22"/>
          <w:szCs w:val="22"/>
        </w:rPr>
        <w:t xml:space="preserve">Rather than model-specific feature importances, permutation importance was computed (20 repeats on the test set) — a model-agnostic, SHAP-equivalent approach that measures accuracy degradation when each feature is randomly shuffled.</w:t>
      </w:r>
    </w:p>
    <w:p>
      <w:pPr>
        <w:spacing w:before="40" w:after="0"/>
      </w:pPr>
    </w:p>
    <w:p>
      <w:pPr>
        <w:pStyle w:val="Heading3"/>
        <w:spacing w:before="180" w:after="40"/>
      </w:pPr>
      <w:r>
        <w:rPr>
          <w:rFonts w:ascii="Arial" w:cs="Arial" w:eastAsia="Arial" w:hAnsi="Arial"/>
          <w:b/>
          <w:bCs/>
          <w:color w:val="1B2631"/>
          <w:sz w:val="22"/>
          <w:szCs w:val="22"/>
        </w:rPr>
        <w:t xml:space="preserve">Top Contributing Features</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800"/>
        <w:gridCol w:w="1600"/>
        <w:gridCol w:w="4240"/>
      </w:tblGrid>
      <w:tr>
        <w:tc>
          <w:tcPr>
            <w:tcW w:type="dxa" w:w="720"/>
            <w:tcBorders>
              <w:top w:val="single" w:color="D5D8DC" w:sz="4"/>
              <w:left w:val="single" w:color="D5D8DC" w:sz="4"/>
              <w:bottom w:val="single" w:color="D5D8DC" w:sz="4"/>
              <w:right w:val="single" w:color="D5D8DC" w:sz="4"/>
            </w:tcBorders>
            <w:shd w:fill="1A527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Rank</w:t>
            </w:r>
          </w:p>
        </w:tc>
        <w:tc>
          <w:tcPr>
            <w:tcW w:type="dxa" w:w="2800"/>
            <w:tcBorders>
              <w:top w:val="single" w:color="D5D8DC" w:sz="4"/>
              <w:left w:val="single" w:color="D5D8DC" w:sz="4"/>
              <w:bottom w:val="single" w:color="D5D8DC" w:sz="4"/>
              <w:right w:val="single" w:color="D5D8DC" w:sz="4"/>
            </w:tcBorders>
            <w:shd w:fill="1A527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Feature</w:t>
            </w:r>
          </w:p>
        </w:tc>
        <w:tc>
          <w:tcPr>
            <w:tcW w:type="dxa" w:w="1600"/>
            <w:tcBorders>
              <w:top w:val="single" w:color="D5D8DC" w:sz="4"/>
              <w:left w:val="single" w:color="D5D8DC" w:sz="4"/>
              <w:bottom w:val="single" w:color="D5D8DC" w:sz="4"/>
              <w:right w:val="single" w:color="D5D8DC" w:sz="4"/>
            </w:tcBorders>
            <w:shd w:fill="1A527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Category</w:t>
            </w:r>
          </w:p>
        </w:tc>
        <w:tc>
          <w:tcPr>
            <w:tcW w:type="dxa" w:w="4240"/>
            <w:tcBorders>
              <w:top w:val="single" w:color="D5D8DC" w:sz="4"/>
              <w:left w:val="single" w:color="D5D8DC" w:sz="4"/>
              <w:bottom w:val="single" w:color="D5D8DC" w:sz="4"/>
              <w:right w:val="single" w:color="D5D8DC" w:sz="4"/>
            </w:tcBorders>
            <w:shd w:fill="1A527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Interpretation</w:t>
            </w:r>
          </w:p>
        </w:tc>
      </w:tr>
      <w:tr>
        <w:tc>
          <w:tcPr>
            <w:tcW w:type="dxa" w:w="720"/>
            <w:tcBorders>
              <w:top w:val="single" w:color="D5D8DC" w:sz="4"/>
              <w:left w:val="single" w:color="D5D8DC" w:sz="4"/>
              <w:bottom w:val="single" w:color="D5D8DC" w:sz="4"/>
              <w:right w:val="single" w:color="D5D8DC" w:sz="4"/>
            </w:tcBorders>
            <w:shd w:fill="FDFEFE"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1</w:t>
            </w:r>
          </w:p>
        </w:tc>
        <w:tc>
          <w:tcPr>
            <w:tcW w:type="dxa" w:w="2800"/>
            <w:tcBorders>
              <w:top w:val="single" w:color="D5D8DC" w:sz="4"/>
              <w:left w:val="single" w:color="D5D8DC" w:sz="4"/>
              <w:bottom w:val="single" w:color="D5D8DC" w:sz="4"/>
              <w:right w:val="single" w:color="D5D8DC" w:sz="4"/>
            </w:tcBorders>
            <w:shd w:fill="FDFEFE"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transit_delay_8h_bin</w:t>
            </w:r>
          </w:p>
        </w:tc>
        <w:tc>
          <w:tcPr>
            <w:tcW w:type="dxa" w:w="1600"/>
            <w:tcBorders>
              <w:top w:val="single" w:color="D5D8DC" w:sz="4"/>
              <w:left w:val="single" w:color="D5D8DC" w:sz="4"/>
              <w:bottom w:val="single" w:color="D5D8DC" w:sz="4"/>
              <w:right w:val="single" w:color="D5D8DC" w:sz="4"/>
            </w:tcBorders>
            <w:shd w:fill="FDFEFE"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Temporal</w:t>
            </w:r>
          </w:p>
        </w:tc>
        <w:tc>
          <w:tcPr>
            <w:tcW w:type="dxa" w:w="4240"/>
            <w:tcBorders>
              <w:top w:val="single" w:color="D5D8DC" w:sz="4"/>
              <w:left w:val="single" w:color="D5D8DC" w:sz="4"/>
              <w:bottom w:val="single" w:color="D5D8DC" w:sz="4"/>
              <w:right w:val="single" w:color="D5D8DC" w:sz="4"/>
            </w:tcBorders>
            <w:shd w:fill="FDFEFE"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AIS/EDI mid-voyage delay at last checkpoint — strongest predictive signal</w:t>
            </w:r>
          </w:p>
        </w:tc>
      </w:tr>
      <w:tr>
        <w:tc>
          <w:tcPr>
            <w:tcW w:type="dxa" w:w="72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2</w:t>
            </w:r>
          </w:p>
        </w:tc>
        <w:tc>
          <w:tcPr>
            <w:tcW w:type="dxa" w:w="28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port_congestion_index</w:t>
            </w:r>
          </w:p>
        </w:tc>
        <w:tc>
          <w:tcPr>
            <w:tcW w:type="dxa" w:w="16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Congestion</w:t>
            </w:r>
          </w:p>
        </w:tc>
        <w:tc>
          <w:tcPr>
            <w:tcW w:type="dxa" w:w="424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Berth + yard saturation composite</w:t>
            </w:r>
          </w:p>
        </w:tc>
      </w:tr>
      <w:tr>
        <w:tc>
          <w:tcPr>
            <w:tcW w:type="dxa" w:w="720"/>
            <w:tcBorders>
              <w:top w:val="single" w:color="D5D8DC" w:sz="4"/>
              <w:left w:val="single" w:color="D5D8DC" w:sz="4"/>
              <w:bottom w:val="single" w:color="D5D8DC" w:sz="4"/>
              <w:right w:val="single" w:color="D5D8DC" w:sz="4"/>
            </w:tcBorders>
            <w:shd w:fill="FDFEFE"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3</w:t>
            </w:r>
          </w:p>
        </w:tc>
        <w:tc>
          <w:tcPr>
            <w:tcW w:type="dxa" w:w="2800"/>
            <w:tcBorders>
              <w:top w:val="single" w:color="D5D8DC" w:sz="4"/>
              <w:left w:val="single" w:color="D5D8DC" w:sz="4"/>
              <w:bottom w:val="single" w:color="D5D8DC" w:sz="4"/>
              <w:right w:val="single" w:color="D5D8DC" w:sz="4"/>
            </w:tcBorders>
            <w:shd w:fill="FDFEFE"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berth_occupancy_pct (lag)</w:t>
            </w:r>
          </w:p>
        </w:tc>
        <w:tc>
          <w:tcPr>
            <w:tcW w:type="dxa" w:w="1600"/>
            <w:tcBorders>
              <w:top w:val="single" w:color="D5D8DC" w:sz="4"/>
              <w:left w:val="single" w:color="D5D8DC" w:sz="4"/>
              <w:bottom w:val="single" w:color="D5D8DC" w:sz="4"/>
              <w:right w:val="single" w:color="D5D8DC" w:sz="4"/>
            </w:tcBorders>
            <w:shd w:fill="FDFEFE"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Congestion</w:t>
            </w:r>
          </w:p>
        </w:tc>
        <w:tc>
          <w:tcPr>
            <w:tcW w:type="dxa" w:w="4240"/>
            <w:tcBorders>
              <w:top w:val="single" w:color="D5D8DC" w:sz="4"/>
              <w:left w:val="single" w:color="D5D8DC" w:sz="4"/>
              <w:bottom w:val="single" w:color="D5D8DC" w:sz="4"/>
              <w:right w:val="single" w:color="D5D8DC" w:sz="4"/>
            </w:tcBorders>
            <w:shd w:fill="FDFEFE"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Lagged congestion with temporal memory</w:t>
            </w:r>
          </w:p>
        </w:tc>
      </w:tr>
      <w:tr>
        <w:tc>
          <w:tcPr>
            <w:tcW w:type="dxa" w:w="72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4</w:t>
            </w:r>
          </w:p>
        </w:tc>
        <w:tc>
          <w:tcPr>
            <w:tcW w:type="dxa" w:w="28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route_risk_score</w:t>
            </w:r>
          </w:p>
        </w:tc>
        <w:tc>
          <w:tcPr>
            <w:tcW w:type="dxa" w:w="16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Risk</w:t>
            </w:r>
          </w:p>
        </w:tc>
        <w:tc>
          <w:tcPr>
            <w:tcW w:type="dxa" w:w="424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Weighted composite of strike, geopolitical &amp; news signals</w:t>
            </w:r>
          </w:p>
        </w:tc>
      </w:tr>
      <w:tr>
        <w:tc>
          <w:tcPr>
            <w:tcW w:type="dxa" w:w="720"/>
            <w:tcBorders>
              <w:top w:val="single" w:color="D5D8DC" w:sz="4"/>
              <w:left w:val="single" w:color="D5D8DC" w:sz="4"/>
              <w:bottom w:val="single" w:color="D5D8DC" w:sz="4"/>
              <w:right w:val="single" w:color="D5D8DC" w:sz="4"/>
            </w:tcBorders>
            <w:shd w:fill="FDFEFE"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5</w:t>
            </w:r>
          </w:p>
        </w:tc>
        <w:tc>
          <w:tcPr>
            <w:tcW w:type="dxa" w:w="2800"/>
            <w:tcBorders>
              <w:top w:val="single" w:color="D5D8DC" w:sz="4"/>
              <w:left w:val="single" w:color="D5D8DC" w:sz="4"/>
              <w:bottom w:val="single" w:color="D5D8DC" w:sz="4"/>
              <w:right w:val="single" w:color="D5D8DC" w:sz="4"/>
            </w:tcBorders>
            <w:shd w:fill="FDFEFE"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median_waiting_time_hours</w:t>
            </w:r>
          </w:p>
        </w:tc>
        <w:tc>
          <w:tcPr>
            <w:tcW w:type="dxa" w:w="1600"/>
            <w:tcBorders>
              <w:top w:val="single" w:color="D5D8DC" w:sz="4"/>
              <w:left w:val="single" w:color="D5D8DC" w:sz="4"/>
              <w:bottom w:val="single" w:color="D5D8DC" w:sz="4"/>
              <w:right w:val="single" w:color="D5D8DC" w:sz="4"/>
            </w:tcBorders>
            <w:shd w:fill="FDFEFE"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Congestion</w:t>
            </w:r>
          </w:p>
        </w:tc>
        <w:tc>
          <w:tcPr>
            <w:tcW w:type="dxa" w:w="4240"/>
            <w:tcBorders>
              <w:top w:val="single" w:color="D5D8DC" w:sz="4"/>
              <w:left w:val="single" w:color="D5D8DC" w:sz="4"/>
              <w:bottom w:val="single" w:color="D5D8DC" w:sz="4"/>
              <w:right w:val="single" w:color="D5D8DC" w:sz="4"/>
            </w:tcBorders>
            <w:shd w:fill="FDFEFE"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Direct operational waiting signal</w:t>
            </w:r>
          </w:p>
        </w:tc>
      </w:tr>
      <w:tr>
        <w:tc>
          <w:tcPr>
            <w:tcW w:type="dxa" w:w="72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6</w:t>
            </w:r>
          </w:p>
        </w:tc>
        <w:tc>
          <w:tcPr>
            <w:tcW w:type="dxa" w:w="28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congestion_x_vessels</w:t>
            </w:r>
          </w:p>
        </w:tc>
        <w:tc>
          <w:tcPr>
            <w:tcW w:type="dxa" w:w="16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Congestion</w:t>
            </w:r>
          </w:p>
        </w:tc>
        <w:tc>
          <w:tcPr>
            <w:tcW w:type="dxa" w:w="424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Interaction of congestion and vessel count</w:t>
            </w:r>
          </w:p>
        </w:tc>
      </w:tr>
      <w:tr>
        <w:tc>
          <w:tcPr>
            <w:tcW w:type="dxa" w:w="720"/>
            <w:tcBorders>
              <w:top w:val="single" w:color="D5D8DC" w:sz="4"/>
              <w:left w:val="single" w:color="D5D8DC" w:sz="4"/>
              <w:bottom w:val="single" w:color="D5D8DC" w:sz="4"/>
              <w:right w:val="single" w:color="D5D8DC" w:sz="4"/>
            </w:tcBorders>
            <w:shd w:fill="FDFEFE"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7</w:t>
            </w:r>
          </w:p>
        </w:tc>
        <w:tc>
          <w:tcPr>
            <w:tcW w:type="dxa" w:w="2800"/>
            <w:tcBorders>
              <w:top w:val="single" w:color="D5D8DC" w:sz="4"/>
              <w:left w:val="single" w:color="D5D8DC" w:sz="4"/>
              <w:bottom w:val="single" w:color="D5D8DC" w:sz="4"/>
              <w:right w:val="single" w:color="D5D8DC" w:sz="4"/>
            </w:tcBorders>
            <w:shd w:fill="FDFEFE"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weather_severity_score</w:t>
            </w:r>
          </w:p>
        </w:tc>
        <w:tc>
          <w:tcPr>
            <w:tcW w:type="dxa" w:w="1600"/>
            <w:tcBorders>
              <w:top w:val="single" w:color="D5D8DC" w:sz="4"/>
              <w:left w:val="single" w:color="D5D8DC" w:sz="4"/>
              <w:bottom w:val="single" w:color="D5D8DC" w:sz="4"/>
              <w:right w:val="single" w:color="D5D8DC" w:sz="4"/>
            </w:tcBorders>
            <w:shd w:fill="FDFEFE"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Weather</w:t>
            </w:r>
          </w:p>
        </w:tc>
        <w:tc>
          <w:tcPr>
            <w:tcW w:type="dxa" w:w="4240"/>
            <w:tcBorders>
              <w:top w:val="single" w:color="D5D8DC" w:sz="4"/>
              <w:left w:val="single" w:color="D5D8DC" w:sz="4"/>
              <w:bottom w:val="single" w:color="D5D8DC" w:sz="4"/>
              <w:right w:val="single" w:color="D5D8DC" w:sz="4"/>
            </w:tcBorders>
            <w:shd w:fill="FDFEFE"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Composite meteorological stress indicator</w:t>
            </w:r>
          </w:p>
        </w:tc>
      </w:tr>
      <w:tr>
        <w:tc>
          <w:tcPr>
            <w:tcW w:type="dxa" w:w="72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8</w:t>
            </w:r>
          </w:p>
        </w:tc>
        <w:tc>
          <w:tcPr>
            <w:tcW w:type="dxa" w:w="28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geopolit_x_strike</w:t>
            </w:r>
          </w:p>
        </w:tc>
        <w:tc>
          <w:tcPr>
            <w:tcW w:type="dxa" w:w="16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Risk</w:t>
            </w:r>
          </w:p>
        </w:tc>
        <w:tc>
          <w:tcPr>
            <w:tcW w:type="dxa" w:w="424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Geopolitical × strike interaction term</w:t>
            </w:r>
          </w:p>
        </w:tc>
      </w:tr>
      <w:tr>
        <w:tc>
          <w:tcPr>
            <w:tcW w:type="dxa" w:w="720"/>
            <w:tcBorders>
              <w:top w:val="single" w:color="D5D8DC" w:sz="4"/>
              <w:left w:val="single" w:color="D5D8DC" w:sz="4"/>
              <w:bottom w:val="single" w:color="D5D8DC" w:sz="4"/>
              <w:right w:val="single" w:color="D5D8DC" w:sz="4"/>
            </w:tcBorders>
            <w:shd w:fill="FDFEFE"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9</w:t>
            </w:r>
          </w:p>
        </w:tc>
        <w:tc>
          <w:tcPr>
            <w:tcW w:type="dxa" w:w="2800"/>
            <w:tcBorders>
              <w:top w:val="single" w:color="D5D8DC" w:sz="4"/>
              <w:left w:val="single" w:color="D5D8DC" w:sz="4"/>
              <w:bottom w:val="single" w:color="D5D8DC" w:sz="4"/>
              <w:right w:val="single" w:color="D5D8DC" w:sz="4"/>
            </w:tcBorders>
            <w:shd w:fill="FDFEFE"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orig_delay_hist</w:t>
            </w:r>
          </w:p>
        </w:tc>
        <w:tc>
          <w:tcPr>
            <w:tcW w:type="dxa" w:w="1600"/>
            <w:tcBorders>
              <w:top w:val="single" w:color="D5D8DC" w:sz="4"/>
              <w:left w:val="single" w:color="D5D8DC" w:sz="4"/>
              <w:bottom w:val="single" w:color="D5D8DC" w:sz="4"/>
              <w:right w:val="single" w:color="D5D8DC" w:sz="4"/>
            </w:tcBorders>
            <w:shd w:fill="FDFEFE"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Temporal</w:t>
            </w:r>
          </w:p>
        </w:tc>
        <w:tc>
          <w:tcPr>
            <w:tcW w:type="dxa" w:w="4240"/>
            <w:tcBorders>
              <w:top w:val="single" w:color="D5D8DC" w:sz="4"/>
              <w:left w:val="single" w:color="D5D8DC" w:sz="4"/>
              <w:bottom w:val="single" w:color="D5D8DC" w:sz="4"/>
              <w:right w:val="single" w:color="D5D8DC" w:sz="4"/>
            </w:tcBorders>
            <w:shd w:fill="FDFEFE"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Port-level historical delay rate (expanding mean)</w:t>
            </w:r>
          </w:p>
        </w:tc>
      </w:tr>
      <w:tr>
        <w:tc>
          <w:tcPr>
            <w:tcW w:type="dxa" w:w="72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10</w:t>
            </w:r>
          </w:p>
        </w:tc>
        <w:tc>
          <w:tcPr>
            <w:tcW w:type="dxa" w:w="28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anomaly_score</w:t>
            </w:r>
          </w:p>
        </w:tc>
        <w:tc>
          <w:tcPr>
            <w:tcW w:type="dxa" w:w="16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Anomaly</w:t>
            </w:r>
          </w:p>
        </w:tc>
        <w:tc>
          <w:tcPr>
            <w:tcW w:type="dxa" w:w="424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Isolation Forest composite abnormality score</w:t>
            </w:r>
          </w:p>
        </w:tc>
      </w:tr>
    </w:tbl>
    <w:p>
      <w:pPr>
        <w:spacing w:before="60" w:after="0"/>
      </w:pPr>
    </w:p>
    <w:p>
      <w:pPr>
        <w:pStyle w:val="Heading3"/>
        <w:spacing w:before="180" w:after="40"/>
      </w:pPr>
      <w:r>
        <w:rPr>
          <w:rFonts w:ascii="Arial" w:cs="Arial" w:eastAsia="Arial" w:hAnsi="Arial"/>
          <w:b/>
          <w:bCs/>
          <w:color w:val="1B2631"/>
          <w:sz w:val="22"/>
          <w:szCs w:val="22"/>
        </w:rPr>
        <w:t xml:space="preserve">Per-Shipment Explainability</w:t>
      </w:r>
    </w:p>
    <w:p>
      <w:pPr>
        <w:spacing w:before="60" w:after="60"/>
      </w:pPr>
      <w:r>
        <w:rPr>
          <w:rFonts w:ascii="Arial" w:cs="Arial" w:eastAsia="Arial" w:hAnsi="Arial"/>
          <w:color w:val="2C3E50"/>
          <w:sz w:val="22"/>
          <w:szCs w:val="22"/>
        </w:rPr>
        <w:t xml:space="preserve">A per-shipment explainability function was implemented: for each shipment, the top-N contributing factors are ranked by importance × normalized feature value, and a natural-language rerouting reason is generated — e.g., 'Shipment X flagged: high berth occupancy at Rotterdam (94%), strike alert level 3, and negative news sentiment drive 82% delay probability. Recommend rerouting via Hamburg.'</w:t>
      </w:r>
    </w:p>
    <w:p>
      <w:pPr>
        <w:spacing w:before="80" w:after="0"/>
      </w:pPr>
    </w:p>
    <w:p>
      <w:pPr>
        <w:pStyle w:val="Heading2"/>
        <w:spacing w:before="240" w:after="60"/>
      </w:pPr>
      <w:r>
        <w:rPr>
          <w:rFonts w:ascii="Arial" w:cs="Arial" w:eastAsia="Arial" w:hAnsi="Arial"/>
          <w:b/>
          <w:bCs/>
          <w:color w:val="148F77"/>
          <w:sz w:val="24"/>
          <w:szCs w:val="24"/>
        </w:rPr>
        <w:t xml:space="preserve">5.3 LangGraph Decision Agent</w:t>
      </w:r>
    </w:p>
    <w:p>
      <w:pPr>
        <w:spacing w:before="60" w:after="60"/>
      </w:pPr>
      <w:r>
        <w:rPr>
          <w:rFonts w:ascii="Arial" w:cs="Arial" w:eastAsia="Arial" w:hAnsi="Arial"/>
          <w:color w:val="2C3E50"/>
          <w:sz w:val="22"/>
          <w:szCs w:val="22"/>
        </w:rPr>
        <w:t xml:space="preserve">A 3-node LangGraph pipeline was built using Groq's Llama-3.3-70b-versatile to generate contextual, natural-language rerouting decisions:</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160"/>
      </w:tblGrid>
      <w:tr>
        <w:tc>
          <w:tcPr>
            <w:tcW w:type="dxa" w:w="2000"/>
            <w:tcBorders>
              <w:top w:val="single" w:color="D5D8DC" w:sz="4"/>
              <w:left w:val="single" w:color="D5D8DC" w:sz="4"/>
              <w:bottom w:val="single" w:color="D5D8DC" w:sz="4"/>
              <w:right w:val="single" w:color="D5D8DC" w:sz="4"/>
            </w:tcBorders>
            <w:shd w:fill="1A527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Node</w:t>
            </w:r>
          </w:p>
        </w:tc>
        <w:tc>
          <w:tcPr>
            <w:tcW w:type="dxa" w:w="4200"/>
            <w:tcBorders>
              <w:top w:val="single" w:color="D5D8DC" w:sz="4"/>
              <w:left w:val="single" w:color="D5D8DC" w:sz="4"/>
              <w:bottom w:val="single" w:color="D5D8DC" w:sz="4"/>
              <w:right w:val="single" w:color="D5D8DC" w:sz="4"/>
            </w:tcBorders>
            <w:shd w:fill="1A527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Function</w:t>
            </w:r>
          </w:p>
        </w:tc>
        <w:tc>
          <w:tcPr>
            <w:tcW w:type="dxa" w:w="3160"/>
            <w:tcBorders>
              <w:top w:val="single" w:color="D5D8DC" w:sz="4"/>
              <w:left w:val="single" w:color="D5D8DC" w:sz="4"/>
              <w:bottom w:val="single" w:color="D5D8DC" w:sz="4"/>
              <w:right w:val="single" w:color="D5D8DC" w:sz="4"/>
            </w:tcBorders>
            <w:shd w:fill="1A527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Output</w:t>
            </w:r>
          </w:p>
        </w:tc>
      </w:tr>
      <w:tr>
        <w:tc>
          <w:tcPr>
            <w:tcW w:type="dxa" w:w="2000"/>
            <w:tcBorders>
              <w:top w:val="single" w:color="D5D8DC" w:sz="4"/>
              <w:left w:val="single" w:color="D5D8DC" w:sz="4"/>
              <w:bottom w:val="single" w:color="D5D8DC" w:sz="4"/>
              <w:right w:val="single" w:color="D5D8DC" w:sz="4"/>
            </w:tcBorders>
            <w:shd w:fill="FDFEFE"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Port Risk (Node 1)</w:t>
            </w:r>
          </w:p>
        </w:tc>
        <w:tc>
          <w:tcPr>
            <w:tcW w:type="dxa" w:w="4200"/>
            <w:tcBorders>
              <w:top w:val="single" w:color="D5D8DC" w:sz="4"/>
              <w:left w:val="single" w:color="D5D8DC" w:sz="4"/>
              <w:bottom w:val="single" w:color="D5D8DC" w:sz="4"/>
              <w:right w:val="single" w:color="D5D8DC" w:sz="4"/>
            </w:tcBorders>
            <w:shd w:fill="FDFEFE"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Fetches live congestion, weather severity, and route risk for the selected origin-destination pair</w:t>
            </w:r>
          </w:p>
        </w:tc>
        <w:tc>
          <w:tcPr>
            <w:tcW w:type="dxa" w:w="3160"/>
            <w:tcBorders>
              <w:top w:val="single" w:color="D5D8DC" w:sz="4"/>
              <w:left w:val="single" w:color="D5D8DC" w:sz="4"/>
              <w:bottom w:val="single" w:color="D5D8DC" w:sz="4"/>
              <w:right w:val="single" w:color="D5D8DC" w:sz="4"/>
            </w:tcBorders>
            <w:shd w:fill="FDFEFE"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Structured risk summary injected into LLM context</w:t>
            </w:r>
          </w:p>
        </w:tc>
      </w:tr>
      <w:tr>
        <w:tc>
          <w:tcPr>
            <w:tcW w:type="dxa" w:w="20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Route History (Node 2)</w:t>
            </w:r>
          </w:p>
        </w:tc>
        <w:tc>
          <w:tcPr>
            <w:tcW w:type="dxa" w:w="42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Pulls historical delay rates for the route, carrier, and port from the dataset</w:t>
            </w:r>
          </w:p>
        </w:tc>
        <w:tc>
          <w:tcPr>
            <w:tcW w:type="dxa" w:w="316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Statistical baseline for comparison</w:t>
            </w:r>
          </w:p>
        </w:tc>
      </w:tr>
      <w:tr>
        <w:tc>
          <w:tcPr>
            <w:tcW w:type="dxa" w:w="2000"/>
            <w:tcBorders>
              <w:top w:val="single" w:color="D5D8DC" w:sz="4"/>
              <w:left w:val="single" w:color="D5D8DC" w:sz="4"/>
              <w:bottom w:val="single" w:color="D5D8DC" w:sz="4"/>
              <w:right w:val="single" w:color="D5D8DC" w:sz="4"/>
            </w:tcBorders>
            <w:shd w:fill="FDFEFE"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Reroute (Node 3)</w:t>
            </w:r>
          </w:p>
        </w:tc>
        <w:tc>
          <w:tcPr>
            <w:tcW w:type="dxa" w:w="4200"/>
            <w:tcBorders>
              <w:top w:val="single" w:color="D5D8DC" w:sz="4"/>
              <w:left w:val="single" w:color="D5D8DC" w:sz="4"/>
              <w:bottom w:val="single" w:color="D5D8DC" w:sz="4"/>
              <w:right w:val="single" w:color="D5D8DC" w:sz="4"/>
            </w:tcBorders>
            <w:shd w:fill="FDFEFE"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Calls Llama-3.3-70b via Groq API with the assembled context</w:t>
            </w:r>
          </w:p>
        </w:tc>
        <w:tc>
          <w:tcPr>
            <w:tcW w:type="dxa" w:w="3160"/>
            <w:tcBorders>
              <w:top w:val="single" w:color="D5D8DC" w:sz="4"/>
              <w:left w:val="single" w:color="D5D8DC" w:sz="4"/>
              <w:bottom w:val="single" w:color="D5D8DC" w:sz="4"/>
              <w:right w:val="single" w:color="D5D8DC" w:sz="4"/>
            </w:tcBorders>
            <w:shd w:fill="FDFEFE"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Natural-language rerouting recommendation with justification</w:t>
            </w:r>
          </w:p>
        </w:tc>
      </w:tr>
    </w:tbl>
    <w:p>
      <w:pPr>
        <w:spacing w:before="60" w:after="0"/>
      </w:pPr>
    </w:p>
    <w:p>
      <w:pPr>
        <w:spacing w:before="60" w:after="60"/>
      </w:pPr>
      <w:r>
        <w:rPr>
          <w:rFonts w:ascii="Arial" w:cs="Arial" w:eastAsia="Arial" w:hAnsi="Arial"/>
          <w:color w:val="2C3E50"/>
          <w:sz w:val="22"/>
          <w:szCs w:val="22"/>
        </w:rPr>
        <w:t xml:space="preserve">The compiled graph is cached via @st.cache_resource and LLM results are cached per route pair in st.session_state, preventing redundant API calls. The agent is exposed in the LLM Agent tab of the Streamlit dashboard.</w:t>
      </w:r>
    </w:p>
    <w:p>
      <w:r>
        <w:br w:type="page"/>
      </w:r>
    </w:p>
    <w:p>
      <w:pPr>
        <w:pStyle w:val="Heading1"/>
        <w:spacing w:before="340" w:after="80"/>
      </w:pPr>
      <w:r>
        <w:rPr>
          <w:rFonts w:ascii="Arial" w:cs="Arial" w:eastAsia="Arial" w:hAnsi="Arial"/>
          <w:b/>
          <w:bCs/>
          <w:color w:val="1A5276"/>
          <w:sz w:val="30"/>
          <w:szCs w:val="30"/>
        </w:rPr>
        <w:t xml:space="preserve">6. Phase 4 — Dashboard &amp; Visualization</w:t>
      </w:r>
    </w:p>
    <w:p>
      <w:pPr>
        <w:pBdr>
          <w:bottom w:val="single" w:color="2E86C1" w:sz="6" w:space="1"/>
        </w:pBdr>
        <w:spacing w:before="160" w:after="0"/>
      </w:pPr>
    </w:p>
    <w:p>
      <w:pPr>
        <w:spacing w:before="60" w:after="0"/>
      </w:pPr>
    </w:p>
    <w:p>
      <w:pPr>
        <w:spacing w:before="60" w:after="60"/>
      </w:pPr>
      <w:r>
        <w:rPr>
          <w:rFonts w:ascii="Arial" w:cs="Arial" w:eastAsia="Arial" w:hAnsi="Arial"/>
          <w:color w:val="2C3E50"/>
          <w:sz w:val="22"/>
          <w:szCs w:val="22"/>
        </w:rPr>
        <w:t xml:space="preserve">The Streamlit dashboard (app.py) presents the full pipeline output through a 7-tab dark cyberpunk interface, designed for supply chain operations teams. All visualizations are built with Plotly and rendered within a consistent teal-on-dark theme (Courier New monospace, #080c14 background, #00c8b4 accent).</w:t>
      </w:r>
    </w:p>
    <w:p>
      <w:pPr>
        <w:spacing w:before="60" w:after="0"/>
      </w:pPr>
    </w:p>
    <w:p>
      <w:pPr>
        <w:pStyle w:val="Heading2"/>
        <w:spacing w:before="240" w:after="60"/>
      </w:pPr>
      <w:r>
        <w:rPr>
          <w:rFonts w:ascii="Arial" w:cs="Arial" w:eastAsia="Arial" w:hAnsi="Arial"/>
          <w:b/>
          <w:bCs/>
          <w:color w:val="148F77"/>
          <w:sz w:val="24"/>
          <w:szCs w:val="24"/>
        </w:rPr>
        <w:t xml:space="preserve">Dashboard Tabs</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240"/>
        <w:gridCol w:w="6400"/>
      </w:tblGrid>
      <w:tr>
        <w:tc>
          <w:tcPr>
            <w:tcW w:type="dxa" w:w="720"/>
            <w:tcBorders>
              <w:top w:val="single" w:color="D5D8DC" w:sz="4"/>
              <w:left w:val="single" w:color="D5D8DC" w:sz="4"/>
              <w:bottom w:val="single" w:color="D5D8DC" w:sz="4"/>
              <w:right w:val="single" w:color="D5D8DC" w:sz="4"/>
            </w:tcBorders>
            <w:shd w:fill="1A527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Tab</w:t>
            </w:r>
          </w:p>
        </w:tc>
        <w:tc>
          <w:tcPr>
            <w:tcW w:type="dxa" w:w="2240"/>
            <w:tcBorders>
              <w:top w:val="single" w:color="D5D8DC" w:sz="4"/>
              <w:left w:val="single" w:color="D5D8DC" w:sz="4"/>
              <w:bottom w:val="single" w:color="D5D8DC" w:sz="4"/>
              <w:right w:val="single" w:color="D5D8DC" w:sz="4"/>
            </w:tcBorders>
            <w:shd w:fill="1A527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Name</w:t>
            </w:r>
          </w:p>
        </w:tc>
        <w:tc>
          <w:tcPr>
            <w:tcW w:type="dxa" w:w="6400"/>
            <w:tcBorders>
              <w:top w:val="single" w:color="D5D8DC" w:sz="4"/>
              <w:left w:val="single" w:color="D5D8DC" w:sz="4"/>
              <w:bottom w:val="single" w:color="D5D8DC" w:sz="4"/>
              <w:right w:val="single" w:color="D5D8DC" w:sz="4"/>
            </w:tcBorders>
            <w:shd w:fill="1A527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Key Content</w:t>
            </w:r>
          </w:p>
        </w:tc>
      </w:tr>
      <w:tr>
        <w:tc>
          <w:tcPr>
            <w:tcW w:type="dxa" w:w="720"/>
            <w:tcBorders>
              <w:top w:val="single" w:color="D5D8DC" w:sz="4"/>
              <w:left w:val="single" w:color="D5D8DC" w:sz="4"/>
              <w:bottom w:val="single" w:color="D5D8DC" w:sz="4"/>
              <w:right w:val="single" w:color="D5D8DC" w:sz="4"/>
            </w:tcBorders>
            <w:shd w:fill="FDFEFE"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1</w:t>
            </w:r>
          </w:p>
        </w:tc>
        <w:tc>
          <w:tcPr>
            <w:tcW w:type="dxa" w:w="2240"/>
            <w:tcBorders>
              <w:top w:val="single" w:color="D5D8DC" w:sz="4"/>
              <w:left w:val="single" w:color="D5D8DC" w:sz="4"/>
              <w:bottom w:val="single" w:color="D5D8DC" w:sz="4"/>
              <w:right w:val="single" w:color="D5D8DC" w:sz="4"/>
            </w:tcBorders>
            <w:shd w:fill="FDFEFE"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 Global Overview</w:t>
            </w:r>
          </w:p>
        </w:tc>
        <w:tc>
          <w:tcPr>
            <w:tcW w:type="dxa" w:w="6400"/>
            <w:tcBorders>
              <w:top w:val="single" w:color="D5D8DC" w:sz="4"/>
              <w:left w:val="single" w:color="D5D8DC" w:sz="4"/>
              <w:bottom w:val="single" w:color="D5D8DC" w:sz="4"/>
              <w:right w:val="single" w:color="D5D8DC" w:sz="4"/>
            </w:tcBorders>
            <w:shd w:fill="FDFEFE"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Shipment volume KPIs, monthly trend charts, port-level delay heatmap, carrier performance breakdown, transport mode distribution</w:t>
            </w:r>
          </w:p>
        </w:tc>
      </w:tr>
      <w:tr>
        <w:tc>
          <w:tcPr>
            <w:tcW w:type="dxa" w:w="72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2</w:t>
            </w:r>
          </w:p>
        </w:tc>
        <w:tc>
          <w:tcPr>
            <w:tcW w:type="dxa" w:w="224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 Disruption Monitor</w:t>
            </w:r>
          </w:p>
        </w:tc>
        <w:tc>
          <w:tcPr>
            <w:tcW w:type="dxa" w:w="64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Real-time disruption flags (strike, port closure, weather), congestion time-series, anomaly spike timeline, port congestion ranking</w:t>
            </w:r>
          </w:p>
        </w:tc>
      </w:tr>
      <w:tr>
        <w:tc>
          <w:tcPr>
            <w:tcW w:type="dxa" w:w="720"/>
            <w:tcBorders>
              <w:top w:val="single" w:color="D5D8DC" w:sz="4"/>
              <w:left w:val="single" w:color="D5D8DC" w:sz="4"/>
              <w:bottom w:val="single" w:color="D5D8DC" w:sz="4"/>
              <w:right w:val="single" w:color="D5D8DC" w:sz="4"/>
            </w:tcBorders>
            <w:shd w:fill="FDFEFE"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3</w:t>
            </w:r>
          </w:p>
        </w:tc>
        <w:tc>
          <w:tcPr>
            <w:tcW w:type="dxa" w:w="2240"/>
            <w:tcBorders>
              <w:top w:val="single" w:color="D5D8DC" w:sz="4"/>
              <w:left w:val="single" w:color="D5D8DC" w:sz="4"/>
              <w:bottom w:val="single" w:color="D5D8DC" w:sz="4"/>
              <w:right w:val="single" w:color="D5D8DC" w:sz="4"/>
            </w:tcBorders>
            <w:shd w:fill="FDFEFE"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 Route Risk</w:t>
            </w:r>
          </w:p>
        </w:tc>
        <w:tc>
          <w:tcPr>
            <w:tcW w:type="dxa" w:w="6400"/>
            <w:tcBorders>
              <w:top w:val="single" w:color="D5D8DC" w:sz="4"/>
              <w:left w:val="single" w:color="D5D8DC" w:sz="4"/>
              <w:bottom w:val="single" w:color="D5D8DC" w:sz="4"/>
              <w:right w:val="single" w:color="D5D8DC" w:sz="4"/>
            </w:tcBorders>
            <w:shd w:fill="FDFEFE"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Route-level AI risk scores, interactive risk scatter plot, geospatial route map with risk-colored arcs, risk status distribution (LOW / MEDIUM / HIGH / CRITICAL)</w:t>
            </w:r>
          </w:p>
        </w:tc>
      </w:tr>
      <w:tr>
        <w:tc>
          <w:tcPr>
            <w:tcW w:type="dxa" w:w="72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4</w:t>
            </w:r>
          </w:p>
        </w:tc>
        <w:tc>
          <w:tcPr>
            <w:tcW w:type="dxa" w:w="224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 AI Rerouting</w:t>
            </w:r>
          </w:p>
        </w:tc>
        <w:tc>
          <w:tcPr>
            <w:tcW w:type="dxa" w:w="64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LP-optimized rerouting across 3 scenarios (Normal / Strike Alert / Port Closure), cost-capacity tradeoff visualization, alternate route recommendations</w:t>
            </w:r>
          </w:p>
        </w:tc>
      </w:tr>
      <w:tr>
        <w:tc>
          <w:tcPr>
            <w:tcW w:type="dxa" w:w="720"/>
            <w:tcBorders>
              <w:top w:val="single" w:color="D5D8DC" w:sz="4"/>
              <w:left w:val="single" w:color="D5D8DC" w:sz="4"/>
              <w:bottom w:val="single" w:color="D5D8DC" w:sz="4"/>
              <w:right w:val="single" w:color="D5D8DC" w:sz="4"/>
            </w:tcBorders>
            <w:shd w:fill="FDFEFE"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5</w:t>
            </w:r>
          </w:p>
        </w:tc>
        <w:tc>
          <w:tcPr>
            <w:tcW w:type="dxa" w:w="2240"/>
            <w:tcBorders>
              <w:top w:val="single" w:color="D5D8DC" w:sz="4"/>
              <w:left w:val="single" w:color="D5D8DC" w:sz="4"/>
              <w:bottom w:val="single" w:color="D5D8DC" w:sz="4"/>
              <w:right w:val="single" w:color="D5D8DC" w:sz="4"/>
            </w:tcBorders>
            <w:shd w:fill="FDFEFE"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 Explainable AI</w:t>
            </w:r>
          </w:p>
        </w:tc>
        <w:tc>
          <w:tcPr>
            <w:tcW w:type="dxa" w:w="6400"/>
            <w:tcBorders>
              <w:top w:val="single" w:color="D5D8DC" w:sz="4"/>
              <w:left w:val="single" w:color="D5D8DC" w:sz="4"/>
              <w:bottom w:val="single" w:color="D5D8DC" w:sz="4"/>
              <w:right w:val="single" w:color="D5D8DC" w:sz="4"/>
            </w:tcBorders>
            <w:shd w:fill="FDFEFE"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SHAP-style permutation importance bar chart (color-coded by feature group), per-shipment delay driver breakdown, model confidence visualization</w:t>
            </w:r>
          </w:p>
        </w:tc>
      </w:tr>
      <w:tr>
        <w:tc>
          <w:tcPr>
            <w:tcW w:type="dxa" w:w="72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6</w:t>
            </w:r>
          </w:p>
        </w:tc>
        <w:tc>
          <w:tcPr>
            <w:tcW w:type="dxa" w:w="224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 Performance</w:t>
            </w:r>
          </w:p>
        </w:tc>
        <w:tc>
          <w:tcPr>
            <w:tcW w:type="dxa" w:w="64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Model metrics — confusion matrix, ROC curve, precision-recall curve, accuracy and AUC-ROC, feature importance summary</w:t>
            </w:r>
          </w:p>
        </w:tc>
      </w:tr>
      <w:tr>
        <w:tc>
          <w:tcPr>
            <w:tcW w:type="dxa" w:w="720"/>
            <w:tcBorders>
              <w:top w:val="single" w:color="D5D8DC" w:sz="4"/>
              <w:left w:val="single" w:color="D5D8DC" w:sz="4"/>
              <w:bottom w:val="single" w:color="D5D8DC" w:sz="4"/>
              <w:right w:val="single" w:color="D5D8DC" w:sz="4"/>
            </w:tcBorders>
            <w:shd w:fill="FDFEFE"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7</w:t>
            </w:r>
          </w:p>
        </w:tc>
        <w:tc>
          <w:tcPr>
            <w:tcW w:type="dxa" w:w="2240"/>
            <w:tcBorders>
              <w:top w:val="single" w:color="D5D8DC" w:sz="4"/>
              <w:left w:val="single" w:color="D5D8DC" w:sz="4"/>
              <w:bottom w:val="single" w:color="D5D8DC" w:sz="4"/>
              <w:right w:val="single" w:color="D5D8DC" w:sz="4"/>
            </w:tcBorders>
            <w:shd w:fill="FDFEFE"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 LLM Agent</w:t>
            </w:r>
          </w:p>
        </w:tc>
        <w:tc>
          <w:tcPr>
            <w:tcW w:type="dxa" w:w="6400"/>
            <w:tcBorders>
              <w:top w:val="single" w:color="D5D8DC" w:sz="4"/>
              <w:left w:val="single" w:color="D5D8DC" w:sz="4"/>
              <w:bottom w:val="single" w:color="D5D8DC" w:sz="4"/>
              <w:right w:val="single" w:color="D5D8DC" w:sz="4"/>
            </w:tcBorders>
            <w:shd w:fill="FDFEFE"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LangGraph pipeline interface — route pair selector, live Groq API rerouting recommendation, node-by-node reasoning trace</w:t>
            </w:r>
          </w:p>
        </w:tc>
      </w:tr>
    </w:tbl>
    <w:p>
      <w:pPr>
        <w:spacing w:before="60" w:after="0"/>
      </w:pPr>
    </w:p>
    <w:p>
      <w:pPr>
        <w:pStyle w:val="Heading2"/>
        <w:spacing w:before="240" w:after="60"/>
      </w:pPr>
      <w:r>
        <w:rPr>
          <w:rFonts w:ascii="Arial" w:cs="Arial" w:eastAsia="Arial" w:hAnsi="Arial"/>
          <w:b/>
          <w:bCs/>
          <w:color w:val="148F77"/>
          <w:sz w:val="24"/>
          <w:szCs w:val="24"/>
        </w:rPr>
        <w:t xml:space="preserve">LP Route Optimization</w:t>
      </w:r>
    </w:p>
    <w:p>
      <w:pPr>
        <w:spacing w:before="60" w:after="60"/>
      </w:pPr>
      <w:r>
        <w:rPr>
          <w:rFonts w:ascii="Arial" w:cs="Arial" w:eastAsia="Arial" w:hAnsi="Arial"/>
          <w:color w:val="2C3E50"/>
          <w:sz w:val="22"/>
          <w:szCs w:val="22"/>
        </w:rPr>
        <w:t xml:space="preserve">The AI Rerouting tab implements linear programming via scipy.optimize.linprog. For each scenario, up to K candidate routes are evaluated with cost coefficients derived from congestion index, route risk score, and weather severity. Capacity constraints are scenario-specific (reduced under strike/closure conditions). The optimizer returns the cost-minimal feasible route allocation, which is rendered as a Plotly bar chart comparing scenario outcomes.</w:t>
      </w:r>
    </w:p>
    <w:p>
      <w:r>
        <w:br w:type="page"/>
      </w:r>
    </w:p>
    <w:p>
      <w:pPr>
        <w:pStyle w:val="Heading1"/>
        <w:spacing w:before="340" w:after="80"/>
      </w:pPr>
      <w:r>
        <w:rPr>
          <w:rFonts w:ascii="Arial" w:cs="Arial" w:eastAsia="Arial" w:hAnsi="Arial"/>
          <w:b/>
          <w:bCs/>
          <w:color w:val="1A5276"/>
          <w:sz w:val="30"/>
          <w:szCs w:val="30"/>
        </w:rPr>
        <w:t xml:space="preserve">7. Results &amp; Key Insights</w:t>
      </w:r>
    </w:p>
    <w:p>
      <w:pPr>
        <w:pBdr>
          <w:bottom w:val="single" w:color="2E86C1" w:sz="6" w:space="1"/>
        </w:pBdr>
        <w:spacing w:before="160" w:after="0"/>
      </w:pPr>
    </w:p>
    <w:p>
      <w:pPr>
        <w:spacing w:before="60" w:after="0"/>
      </w:pPr>
    </w:p>
    <w:p>
      <w:pPr>
        <w:pStyle w:val="Heading2"/>
        <w:spacing w:before="240" w:after="60"/>
      </w:pPr>
      <w:r>
        <w:rPr>
          <w:rFonts w:ascii="Arial" w:cs="Arial" w:eastAsia="Arial" w:hAnsi="Arial"/>
          <w:b/>
          <w:bCs/>
          <w:color w:val="148F77"/>
          <w:sz w:val="24"/>
          <w:szCs w:val="24"/>
        </w:rPr>
        <w:t xml:space="preserve">7.1 Model Performance Summary</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5D8DC" w:sz="4"/>
              <w:left w:val="single" w:color="D5D8DC" w:sz="4"/>
              <w:bottom w:val="single" w:color="D5D8DC" w:sz="4"/>
              <w:right w:val="single" w:color="D5D8DC" w:sz="4"/>
            </w:tcBorders>
            <w:shd w:fill="EBF5FB" w:val="clear"/>
            <w:tcMar>
              <w:top w:type="dxa" w:w="120"/>
              <w:left w:type="dxa" w:w="200"/>
              <w:bottom w:type="dxa" w:w="120"/>
              <w:right w:type="dxa" w:w="200"/>
            </w:tcMar>
            <w:vAlign w:val="center"/>
          </w:tcPr>
          <w:p>
            <w:pPr>
              <w:spacing w:before="0" w:after="0"/>
              <w:jc w:val="center"/>
            </w:pPr>
            <w:r>
              <w:rPr>
                <w:rFonts w:ascii="Arial" w:cs="Arial" w:eastAsia="Arial" w:hAnsi="Arial"/>
                <w:b/>
                <w:bCs/>
                <w:color w:val="566573"/>
                <w:sz w:val="16"/>
                <w:szCs w:val="16"/>
              </w:rPr>
              <w:t xml:space="preserve">AUC-ROC</w:t>
            </w:r>
          </w:p>
          <w:p>
            <w:pPr>
              <w:spacing w:before="20" w:after="0"/>
              <w:jc w:val="center"/>
            </w:pPr>
            <w:r>
              <w:rPr>
                <w:rFonts w:ascii="Arial" w:cs="Arial" w:eastAsia="Arial" w:hAnsi="Arial"/>
                <w:b/>
                <w:bCs/>
                <w:color w:val="1A5276"/>
                <w:sz w:val="34"/>
                <w:szCs w:val="34"/>
              </w:rPr>
              <w:t xml:space="preserve">0.7730</w:t>
            </w:r>
          </w:p>
          <w:p>
            <w:pPr>
              <w:spacing w:before="10" w:after="0"/>
              <w:jc w:val="center"/>
            </w:pPr>
            <w:r>
              <w:rPr>
                <w:rFonts w:ascii="Arial" w:cs="Arial" w:eastAsia="Arial" w:hAnsi="Arial"/>
                <w:color w:val="566573"/>
                <w:sz w:val="18"/>
                <w:szCs w:val="18"/>
              </w:rPr>
              <w:t xml:space="preserve">HistGradientBoosting</w:t>
            </w:r>
          </w:p>
        </w:tc>
        <w:tc>
          <w:tcPr>
            <w:tcW w:type="dxa" w:w="2340"/>
            <w:tcBorders>
              <w:top w:val="single" w:color="D5D8DC" w:sz="4"/>
              <w:left w:val="single" w:color="D5D8DC" w:sz="4"/>
              <w:bottom w:val="single" w:color="D5D8DC" w:sz="4"/>
              <w:right w:val="single" w:color="D5D8DC" w:sz="4"/>
            </w:tcBorders>
            <w:shd w:fill="EBF5FB" w:val="clear"/>
            <w:tcMar>
              <w:top w:type="dxa" w:w="120"/>
              <w:left w:type="dxa" w:w="200"/>
              <w:bottom w:type="dxa" w:w="120"/>
              <w:right w:type="dxa" w:w="200"/>
            </w:tcMar>
            <w:vAlign w:val="center"/>
          </w:tcPr>
          <w:p>
            <w:pPr>
              <w:spacing w:before="0" w:after="0"/>
              <w:jc w:val="center"/>
            </w:pPr>
            <w:r>
              <w:rPr>
                <w:rFonts w:ascii="Arial" w:cs="Arial" w:eastAsia="Arial" w:hAnsi="Arial"/>
                <w:b/>
                <w:bCs/>
                <w:color w:val="566573"/>
                <w:sz w:val="16"/>
                <w:szCs w:val="16"/>
              </w:rPr>
              <w:t xml:space="preserve">ACCURACY</w:t>
            </w:r>
          </w:p>
          <w:p>
            <w:pPr>
              <w:spacing w:before="20" w:after="0"/>
              <w:jc w:val="center"/>
            </w:pPr>
            <w:r>
              <w:rPr>
                <w:rFonts w:ascii="Arial" w:cs="Arial" w:eastAsia="Arial" w:hAnsi="Arial"/>
                <w:b/>
                <w:bCs/>
                <w:color w:val="1A5276"/>
                <w:sz w:val="34"/>
                <w:szCs w:val="34"/>
              </w:rPr>
              <w:t xml:space="preserve">75.4%</w:t>
            </w:r>
          </w:p>
          <w:p>
            <w:pPr>
              <w:spacing w:before="10" w:after="0"/>
              <w:jc w:val="center"/>
            </w:pPr>
            <w:r>
              <w:rPr>
                <w:rFonts w:ascii="Arial" w:cs="Arial" w:eastAsia="Arial" w:hAnsi="Arial"/>
                <w:color w:val="566573"/>
                <w:sz w:val="18"/>
                <w:szCs w:val="18"/>
              </w:rPr>
              <w:t xml:space="preserve">Chronological holdout</w:t>
            </w:r>
          </w:p>
        </w:tc>
        <w:tc>
          <w:tcPr>
            <w:tcW w:type="dxa" w:w="2340"/>
            <w:tcBorders>
              <w:top w:val="single" w:color="D5D8DC" w:sz="4"/>
              <w:left w:val="single" w:color="D5D8DC" w:sz="4"/>
              <w:bottom w:val="single" w:color="D5D8DC" w:sz="4"/>
              <w:right w:val="single" w:color="D5D8DC" w:sz="4"/>
            </w:tcBorders>
            <w:shd w:fill="EBF5FB" w:val="clear"/>
            <w:tcMar>
              <w:top w:type="dxa" w:w="120"/>
              <w:left w:type="dxa" w:w="200"/>
              <w:bottom w:type="dxa" w:w="120"/>
              <w:right w:type="dxa" w:w="200"/>
            </w:tcMar>
            <w:vAlign w:val="center"/>
          </w:tcPr>
          <w:p>
            <w:pPr>
              <w:spacing w:before="0" w:after="0"/>
              <w:jc w:val="center"/>
            </w:pPr>
            <w:r>
              <w:rPr>
                <w:rFonts w:ascii="Arial" w:cs="Arial" w:eastAsia="Arial" w:hAnsi="Arial"/>
                <w:b/>
                <w:bCs/>
                <w:color w:val="566573"/>
                <w:sz w:val="16"/>
                <w:szCs w:val="16"/>
              </w:rPr>
              <w:t xml:space="preserve">PRECISION (DELAYED)</w:t>
            </w:r>
          </w:p>
          <w:p>
            <w:pPr>
              <w:spacing w:before="20" w:after="0"/>
              <w:jc w:val="center"/>
            </w:pPr>
            <w:r>
              <w:rPr>
                <w:rFonts w:ascii="Arial" w:cs="Arial" w:eastAsia="Arial" w:hAnsi="Arial"/>
                <w:b/>
                <w:bCs/>
                <w:color w:val="1A5276"/>
                <w:sz w:val="34"/>
                <w:szCs w:val="34"/>
              </w:rPr>
              <w:t xml:space="preserve">99%</w:t>
            </w:r>
          </w:p>
          <w:p>
            <w:pPr>
              <w:spacing w:before="10" w:after="0"/>
              <w:jc w:val="center"/>
            </w:pPr>
            <w:r>
              <w:rPr>
                <w:rFonts w:ascii="Arial" w:cs="Arial" w:eastAsia="Arial" w:hAnsi="Arial"/>
                <w:color w:val="566573"/>
                <w:sz w:val="18"/>
                <w:szCs w:val="18"/>
              </w:rPr>
              <w:t xml:space="preserve">High-confidence flagging</w:t>
            </w:r>
          </w:p>
        </w:tc>
        <w:tc>
          <w:tcPr>
            <w:tcW w:type="dxa" w:w="2340"/>
            <w:tcBorders>
              <w:top w:val="single" w:color="D5D8DC" w:sz="4"/>
              <w:left w:val="single" w:color="D5D8DC" w:sz="4"/>
              <w:bottom w:val="single" w:color="D5D8DC" w:sz="4"/>
              <w:right w:val="single" w:color="D5D8DC" w:sz="4"/>
            </w:tcBorders>
            <w:shd w:fill="EBF5FB" w:val="clear"/>
            <w:tcMar>
              <w:top w:type="dxa" w:w="120"/>
              <w:left w:type="dxa" w:w="200"/>
              <w:bottom w:type="dxa" w:w="120"/>
              <w:right w:type="dxa" w:w="200"/>
            </w:tcMar>
            <w:vAlign w:val="center"/>
          </w:tcPr>
          <w:p>
            <w:pPr>
              <w:spacing w:before="0" w:after="0"/>
              <w:jc w:val="center"/>
            </w:pPr>
            <w:r>
              <w:rPr>
                <w:rFonts w:ascii="Arial" w:cs="Arial" w:eastAsia="Arial" w:hAnsi="Arial"/>
                <w:b/>
                <w:bCs/>
                <w:color w:val="566573"/>
                <w:sz w:val="16"/>
                <w:szCs w:val="16"/>
              </w:rPr>
              <w:t xml:space="preserve">CV ACCURACY</w:t>
            </w:r>
          </w:p>
          <w:p>
            <w:pPr>
              <w:spacing w:before="20" w:after="0"/>
              <w:jc w:val="center"/>
            </w:pPr>
            <w:r>
              <w:rPr>
                <w:rFonts w:ascii="Arial" w:cs="Arial" w:eastAsia="Arial" w:hAnsi="Arial"/>
                <w:b/>
                <w:bCs/>
                <w:color w:val="1A5276"/>
                <w:sz w:val="34"/>
                <w:szCs w:val="34"/>
              </w:rPr>
              <w:t xml:space="preserve">75.7%</w:t>
            </w:r>
          </w:p>
          <w:p>
            <w:pPr>
              <w:spacing w:before="10" w:after="0"/>
              <w:jc w:val="center"/>
            </w:pPr>
            <w:r>
              <w:rPr>
                <w:rFonts w:ascii="Arial" w:cs="Arial" w:eastAsia="Arial" w:hAnsi="Arial"/>
                <w:color w:val="566573"/>
                <w:sz w:val="18"/>
                <w:szCs w:val="18"/>
              </w:rPr>
              <w:t xml:space="preserve">5-fold TimeSeriesSplit</w:t>
            </w:r>
          </w:p>
        </w:tc>
      </w:tr>
    </w:tbl>
    <w:p>
      <w:pPr>
        <w:spacing w:before="80" w:after="0"/>
      </w:pPr>
    </w:p>
    <w:p>
      <w:pPr>
        <w:pStyle w:val="Heading2"/>
        <w:spacing w:before="240" w:after="60"/>
      </w:pPr>
      <w:r>
        <w:rPr>
          <w:rFonts w:ascii="Arial" w:cs="Arial" w:eastAsia="Arial" w:hAnsi="Arial"/>
          <w:b/>
          <w:bCs/>
          <w:color w:val="148F77"/>
          <w:sz w:val="24"/>
          <w:szCs w:val="24"/>
        </w:rPr>
        <w:t xml:space="preserve">7.2 Dataset-Level Insights</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5D8DC" w:sz="4"/>
              <w:left w:val="single" w:color="D5D8DC" w:sz="4"/>
              <w:bottom w:val="single" w:color="D5D8DC" w:sz="4"/>
              <w:right w:val="single" w:color="D5D8DC" w:sz="4"/>
            </w:tcBorders>
            <w:shd w:fill="EBF5FB" w:val="clear"/>
            <w:tcMar>
              <w:top w:type="dxa" w:w="120"/>
              <w:left w:type="dxa" w:w="200"/>
              <w:bottom w:type="dxa" w:w="120"/>
              <w:right w:type="dxa" w:w="200"/>
            </w:tcMar>
            <w:vAlign w:val="center"/>
          </w:tcPr>
          <w:p>
            <w:pPr>
              <w:spacing w:before="0" w:after="0"/>
              <w:jc w:val="center"/>
            </w:pPr>
            <w:r>
              <w:rPr>
                <w:rFonts w:ascii="Arial" w:cs="Arial" w:eastAsia="Arial" w:hAnsi="Arial"/>
                <w:b/>
                <w:bCs/>
                <w:color w:val="566573"/>
                <w:sz w:val="16"/>
                <w:szCs w:val="16"/>
              </w:rPr>
              <w:t xml:space="preserve">TOTAL SHIPMENTS</w:t>
            </w:r>
          </w:p>
          <w:p>
            <w:pPr>
              <w:spacing w:before="20" w:after="0"/>
              <w:jc w:val="center"/>
            </w:pPr>
            <w:r>
              <w:rPr>
                <w:rFonts w:ascii="Arial" w:cs="Arial" w:eastAsia="Arial" w:hAnsi="Arial"/>
                <w:b/>
                <w:bCs/>
                <w:color w:val="1A5276"/>
                <w:sz w:val="34"/>
                <w:szCs w:val="34"/>
              </w:rPr>
              <w:t xml:space="preserve">52,034</w:t>
            </w:r>
          </w:p>
          <w:p>
            <w:pPr>
              <w:spacing w:before="10" w:after="0"/>
              <w:jc w:val="center"/>
            </w:pPr>
            <w:r>
              <w:rPr>
                <w:rFonts w:ascii="Arial" w:cs="Arial" w:eastAsia="Arial" w:hAnsi="Arial"/>
                <w:color w:val="566573"/>
                <w:sz w:val="18"/>
                <w:szCs w:val="18"/>
              </w:rPr>
              <w:t xml:space="preserve">Jan 2024 – Dec 2025</w:t>
            </w:r>
          </w:p>
        </w:tc>
        <w:tc>
          <w:tcPr>
            <w:tcW w:type="dxa" w:w="2340"/>
            <w:tcBorders>
              <w:top w:val="single" w:color="D5D8DC" w:sz="4"/>
              <w:left w:val="single" w:color="D5D8DC" w:sz="4"/>
              <w:bottom w:val="single" w:color="D5D8DC" w:sz="4"/>
              <w:right w:val="single" w:color="D5D8DC" w:sz="4"/>
            </w:tcBorders>
            <w:shd w:fill="EBF5FB" w:val="clear"/>
            <w:tcMar>
              <w:top w:type="dxa" w:w="120"/>
              <w:left w:type="dxa" w:w="200"/>
              <w:bottom w:type="dxa" w:w="120"/>
              <w:right w:type="dxa" w:w="200"/>
            </w:tcMar>
            <w:vAlign w:val="center"/>
          </w:tcPr>
          <w:p>
            <w:pPr>
              <w:spacing w:before="0" w:after="0"/>
              <w:jc w:val="center"/>
            </w:pPr>
            <w:r>
              <w:rPr>
                <w:rFonts w:ascii="Arial" w:cs="Arial" w:eastAsia="Arial" w:hAnsi="Arial"/>
                <w:b/>
                <w:bCs/>
                <w:color w:val="566573"/>
                <w:sz w:val="16"/>
                <w:szCs w:val="16"/>
              </w:rPr>
              <w:t xml:space="preserve">DELAY RATE</w:t>
            </w:r>
          </w:p>
          <w:p>
            <w:pPr>
              <w:spacing w:before="20" w:after="0"/>
              <w:jc w:val="center"/>
            </w:pPr>
            <w:r>
              <w:rPr>
                <w:rFonts w:ascii="Arial" w:cs="Arial" w:eastAsia="Arial" w:hAnsi="Arial"/>
                <w:b/>
                <w:bCs/>
                <w:color w:val="1A5276"/>
                <w:sz w:val="34"/>
                <w:szCs w:val="34"/>
              </w:rPr>
              <w:t xml:space="preserve">57.4%</w:t>
            </w:r>
          </w:p>
          <w:p>
            <w:pPr>
              <w:spacing w:before="10" w:after="0"/>
              <w:jc w:val="center"/>
            </w:pPr>
            <w:r>
              <w:rPr>
                <w:rFonts w:ascii="Arial" w:cs="Arial" w:eastAsia="Arial" w:hAnsi="Arial"/>
                <w:color w:val="566573"/>
                <w:sz w:val="18"/>
                <w:szCs w:val="18"/>
              </w:rPr>
              <w:t xml:space="preserve">Overall</w:t>
            </w:r>
          </w:p>
        </w:tc>
        <w:tc>
          <w:tcPr>
            <w:tcW w:type="dxa" w:w="2340"/>
            <w:tcBorders>
              <w:top w:val="single" w:color="D5D8DC" w:sz="4"/>
              <w:left w:val="single" w:color="D5D8DC" w:sz="4"/>
              <w:bottom w:val="single" w:color="D5D8DC" w:sz="4"/>
              <w:right w:val="single" w:color="D5D8DC" w:sz="4"/>
            </w:tcBorders>
            <w:shd w:fill="EBF5FB" w:val="clear"/>
            <w:tcMar>
              <w:top w:type="dxa" w:w="120"/>
              <w:left w:type="dxa" w:w="200"/>
              <w:bottom w:type="dxa" w:w="120"/>
              <w:right w:type="dxa" w:w="200"/>
            </w:tcMar>
            <w:vAlign w:val="center"/>
          </w:tcPr>
          <w:p>
            <w:pPr>
              <w:spacing w:before="0" w:after="0"/>
              <w:jc w:val="center"/>
            </w:pPr>
            <w:r>
              <w:rPr>
                <w:rFonts w:ascii="Arial" w:cs="Arial" w:eastAsia="Arial" w:hAnsi="Arial"/>
                <w:b/>
                <w:bCs/>
                <w:color w:val="566573"/>
                <w:sz w:val="16"/>
                <w:szCs w:val="16"/>
              </w:rPr>
              <w:t xml:space="preserve">AVG DELAY</w:t>
            </w:r>
          </w:p>
          <w:p>
            <w:pPr>
              <w:spacing w:before="20" w:after="0"/>
              <w:jc w:val="center"/>
            </w:pPr>
            <w:r>
              <w:rPr>
                <w:rFonts w:ascii="Arial" w:cs="Arial" w:eastAsia="Arial" w:hAnsi="Arial"/>
                <w:b/>
                <w:bCs/>
                <w:color w:val="1A5276"/>
                <w:sz w:val="34"/>
                <w:szCs w:val="34"/>
              </w:rPr>
              <w:t xml:space="preserve">360 min</w:t>
            </w:r>
          </w:p>
          <w:p>
            <w:pPr>
              <w:spacing w:before="10" w:after="0"/>
              <w:jc w:val="center"/>
            </w:pPr>
            <w:r>
              <w:rPr>
                <w:rFonts w:ascii="Arial" w:cs="Arial" w:eastAsia="Arial" w:hAnsi="Arial"/>
                <w:color w:val="566573"/>
                <w:sz w:val="18"/>
                <w:szCs w:val="18"/>
              </w:rPr>
              <w:t xml:space="preserve">When delayed</w:t>
            </w:r>
          </w:p>
        </w:tc>
        <w:tc>
          <w:tcPr>
            <w:tcW w:type="dxa" w:w="2340"/>
            <w:tcBorders>
              <w:top w:val="single" w:color="D5D8DC" w:sz="4"/>
              <w:left w:val="single" w:color="D5D8DC" w:sz="4"/>
              <w:bottom w:val="single" w:color="D5D8DC" w:sz="4"/>
              <w:right w:val="single" w:color="D5D8DC" w:sz="4"/>
            </w:tcBorders>
            <w:shd w:fill="EBF5FB" w:val="clear"/>
            <w:tcMar>
              <w:top w:type="dxa" w:w="120"/>
              <w:left w:type="dxa" w:w="200"/>
              <w:bottom w:type="dxa" w:w="120"/>
              <w:right w:type="dxa" w:w="200"/>
            </w:tcMar>
            <w:vAlign w:val="center"/>
          </w:tcPr>
          <w:p>
            <w:pPr>
              <w:spacing w:before="0" w:after="0"/>
              <w:jc w:val="center"/>
            </w:pPr>
            <w:r>
              <w:rPr>
                <w:rFonts w:ascii="Arial" w:cs="Arial" w:eastAsia="Arial" w:hAnsi="Arial"/>
                <w:b/>
                <w:bCs/>
                <w:color w:val="566573"/>
                <w:sz w:val="16"/>
                <w:szCs w:val="16"/>
              </w:rPr>
              <w:t xml:space="preserve">ANOMALIES</w:t>
            </w:r>
          </w:p>
          <w:p>
            <w:pPr>
              <w:spacing w:before="20" w:after="0"/>
              <w:jc w:val="center"/>
            </w:pPr>
            <w:r>
              <w:rPr>
                <w:rFonts w:ascii="Arial" w:cs="Arial" w:eastAsia="Arial" w:hAnsi="Arial"/>
                <w:b/>
                <w:bCs/>
                <w:color w:val="1A5276"/>
                <w:sz w:val="34"/>
                <w:szCs w:val="34"/>
              </w:rPr>
              <w:t xml:space="preserve">~5%</w:t>
            </w:r>
          </w:p>
          <w:p>
            <w:pPr>
              <w:spacing w:before="10" w:after="0"/>
              <w:jc w:val="center"/>
            </w:pPr>
            <w:r>
              <w:rPr>
                <w:rFonts w:ascii="Arial" w:cs="Arial" w:eastAsia="Arial" w:hAnsi="Arial"/>
                <w:color w:val="566573"/>
                <w:sz w:val="18"/>
                <w:szCs w:val="18"/>
              </w:rPr>
              <w:t xml:space="preserve">Isolation Forest flagged</w:t>
            </w:r>
          </w:p>
        </w:tc>
      </w:tr>
    </w:tbl>
    <w:p>
      <w:pPr>
        <w:spacing w:before="80" w:after="0"/>
      </w:pPr>
    </w:p>
    <w:p>
      <w:pPr>
        <w:pStyle w:val="Heading2"/>
        <w:spacing w:before="240" w:after="60"/>
      </w:pPr>
      <w:r>
        <w:rPr>
          <w:rFonts w:ascii="Arial" w:cs="Arial" w:eastAsia="Arial" w:hAnsi="Arial"/>
          <w:b/>
          <w:bCs/>
          <w:color w:val="148F77"/>
          <w:sz w:val="24"/>
          <w:szCs w:val="24"/>
        </w:rPr>
        <w:t xml:space="preserve">7.3 Feature-Level Insights</w:t>
      </w:r>
    </w:p>
    <w:p>
      <w:pPr>
        <w:pStyle w:val="ListParagraph"/>
        <w:numPr>
          <w:ilvl w:val="0"/>
          <w:numId w:val="2"/>
        </w:numPr>
        <w:spacing w:before="40" w:after="40"/>
      </w:pPr>
      <w:r>
        <w:rPr>
          <w:rFonts w:ascii="Arial" w:cs="Arial" w:eastAsia="Arial" w:hAnsi="Arial"/>
          <w:b/>
          <w:bCs/>
          <w:color w:val="1B2631"/>
          <w:sz w:val="22"/>
          <w:szCs w:val="22"/>
        </w:rPr>
        <w:t xml:space="preserve">Transit delay at last AIS checkpoint </w:t>
      </w:r>
      <w:r>
        <w:rPr>
          <w:rFonts w:ascii="Arial" w:cs="Arial" w:eastAsia="Arial" w:hAnsi="Arial"/>
          <w:color w:val="2C3E50"/>
          <w:sz w:val="22"/>
          <w:szCs w:val="22"/>
        </w:rPr>
        <w:t xml:space="preserve">is the single strongest predictor — a shipment already delayed at its 8-hour update window has a dramatically higher probability of final delay.</w:t>
      </w:r>
    </w:p>
    <w:p>
      <w:pPr>
        <w:pStyle w:val="ListParagraph"/>
        <w:numPr>
          <w:ilvl w:val="0"/>
          <w:numId w:val="2"/>
        </w:numPr>
        <w:spacing w:before="40" w:after="40"/>
      </w:pPr>
      <w:r>
        <w:rPr>
          <w:rFonts w:ascii="Arial" w:cs="Arial" w:eastAsia="Arial" w:hAnsi="Arial"/>
          <w:b/>
          <w:bCs/>
          <w:color w:val="1B2631"/>
          <w:sz w:val="22"/>
          <w:szCs w:val="22"/>
        </w:rPr>
        <w:t xml:space="preserve">Congestion dominates: </w:t>
      </w:r>
      <w:r>
        <w:rPr>
          <w:rFonts w:ascii="Arial" w:cs="Arial" w:eastAsia="Arial" w:hAnsi="Arial"/>
          <w:color w:val="2C3E50"/>
          <w:sz w:val="22"/>
          <w:szCs w:val="22"/>
        </w:rPr>
        <w:t xml:space="preserve">berth occupancy, yard utilization, and vessel count at anchorage collectively represent the top risk cluster, confirming that port infrastructure stress matters more than weather alone.</w:t>
      </w:r>
    </w:p>
    <w:p>
      <w:pPr>
        <w:pStyle w:val="ListParagraph"/>
        <w:numPr>
          <w:ilvl w:val="0"/>
          <w:numId w:val="2"/>
        </w:numPr>
        <w:spacing w:before="40" w:after="40"/>
      </w:pPr>
      <w:r>
        <w:rPr>
          <w:rFonts w:ascii="Arial" w:cs="Arial" w:eastAsia="Arial" w:hAnsi="Arial"/>
          <w:b/>
          <w:bCs/>
          <w:color w:val="1B2631"/>
          <w:sz w:val="22"/>
          <w:szCs w:val="22"/>
        </w:rPr>
        <w:t xml:space="preserve">Temporal memory matters: </w:t>
      </w:r>
      <w:r>
        <w:rPr>
          <w:rFonts w:ascii="Arial" w:cs="Arial" w:eastAsia="Arial" w:hAnsi="Arial"/>
          <w:color w:val="2C3E50"/>
          <w:sz w:val="22"/>
          <w:szCs w:val="22"/>
        </w:rPr>
        <w:t xml:space="preserve">7-day and 14-day rolling congestion averages consistently outperform instantaneous readings — congestion is auto-correlated over time.</w:t>
      </w:r>
    </w:p>
    <w:p>
      <w:pPr>
        <w:pStyle w:val="ListParagraph"/>
        <w:numPr>
          <w:ilvl w:val="0"/>
          <w:numId w:val="2"/>
        </w:numPr>
        <w:spacing w:before="40" w:after="40"/>
      </w:pPr>
      <w:r>
        <w:rPr>
          <w:rFonts w:ascii="Arial" w:cs="Arial" w:eastAsia="Arial" w:hAnsi="Arial"/>
          <w:b/>
          <w:bCs/>
          <w:color w:val="1B2631"/>
          <w:sz w:val="22"/>
          <w:szCs w:val="22"/>
        </w:rPr>
        <w:t xml:space="preserve">Historical delay rates </w:t>
      </w:r>
      <w:r>
        <w:rPr>
          <w:rFonts w:ascii="Arial" w:cs="Arial" w:eastAsia="Arial" w:hAnsi="Arial"/>
          <w:color w:val="2C3E50"/>
          <w:sz w:val="22"/>
          <w:szCs w:val="22"/>
        </w:rPr>
        <w:t xml:space="preserve">for port, carrier, and route provide strong Bayesian priors that significantly reduce model uncertainty.</w:t>
      </w:r>
    </w:p>
    <w:p>
      <w:pPr>
        <w:pStyle w:val="ListParagraph"/>
        <w:numPr>
          <w:ilvl w:val="0"/>
          <w:numId w:val="2"/>
        </w:numPr>
        <w:spacing w:before="40" w:after="40"/>
      </w:pPr>
      <w:r>
        <w:rPr>
          <w:rFonts w:ascii="Arial" w:cs="Arial" w:eastAsia="Arial" w:hAnsi="Arial"/>
          <w:b/>
          <w:bCs/>
          <w:color w:val="1B2631"/>
          <w:sz w:val="22"/>
          <w:szCs w:val="22"/>
        </w:rPr>
        <w:t xml:space="preserve">Anomaly score </w:t>
      </w:r>
      <w:r>
        <w:rPr>
          <w:rFonts w:ascii="Arial" w:cs="Arial" w:eastAsia="Arial" w:hAnsi="Arial"/>
          <w:color w:val="2C3E50"/>
          <w:sz w:val="22"/>
          <w:szCs w:val="22"/>
        </w:rPr>
        <w:t xml:space="preserve">captures compound, multi-signal disruptions not captured by any single feature.</w:t>
      </w:r>
    </w:p>
    <w:p>
      <w:pPr>
        <w:pStyle w:val="ListParagraph"/>
        <w:numPr>
          <w:ilvl w:val="0"/>
          <w:numId w:val="2"/>
        </w:numPr>
        <w:spacing w:before="40" w:after="40"/>
      </w:pPr>
      <w:r>
        <w:rPr>
          <w:rFonts w:ascii="Arial" w:cs="Arial" w:eastAsia="Arial" w:hAnsi="Arial"/>
          <w:b/>
          <w:bCs/>
          <w:color w:val="1B2631"/>
          <w:sz w:val="22"/>
          <w:szCs w:val="22"/>
        </w:rPr>
        <w:t xml:space="preserve">Route risk composite </w:t>
      </w:r>
      <w:r>
        <w:rPr>
          <w:rFonts w:ascii="Arial" w:cs="Arial" w:eastAsia="Arial" w:hAnsi="Arial"/>
          <w:color w:val="2C3E50"/>
          <w:sz w:val="22"/>
          <w:szCs w:val="22"/>
        </w:rPr>
        <w:t xml:space="preserve">(strike × geopolitical × sentiment) ranks in the top 10 consistently, confirming that external intelligence signals add predictive value beyond operational telemetry.</w:t>
      </w:r>
    </w:p>
    <w:p>
      <w:r>
        <w:br w:type="page"/>
      </w:r>
    </w:p>
    <w:p>
      <w:pPr>
        <w:pStyle w:val="Heading1"/>
        <w:spacing w:before="340" w:after="80"/>
      </w:pPr>
      <w:r>
        <w:rPr>
          <w:rFonts w:ascii="Arial" w:cs="Arial" w:eastAsia="Arial" w:hAnsi="Arial"/>
          <w:b/>
          <w:bCs/>
          <w:color w:val="1A5276"/>
          <w:sz w:val="30"/>
          <w:szCs w:val="30"/>
        </w:rPr>
        <w:t xml:space="preserve">8. Actionable Recommendations</w:t>
      </w:r>
    </w:p>
    <w:p>
      <w:pPr>
        <w:pBdr>
          <w:bottom w:val="single" w:color="2E86C1" w:sz="6" w:space="1"/>
        </w:pBdr>
        <w:spacing w:before="160" w:after="0"/>
      </w:pPr>
    </w:p>
    <w:p>
      <w:pPr>
        <w:spacing w:before="60" w:after="0"/>
      </w:pPr>
    </w:p>
    <w:p>
      <w:pPr>
        <w:pStyle w:val="Heading2"/>
        <w:spacing w:before="240" w:after="60"/>
      </w:pPr>
      <w:r>
        <w:rPr>
          <w:rFonts w:ascii="Arial" w:cs="Arial" w:eastAsia="Arial" w:hAnsi="Arial"/>
          <w:b/>
          <w:bCs/>
          <w:color w:val="148F77"/>
          <w:sz w:val="24"/>
          <w:szCs w:val="24"/>
        </w:rPr>
        <w:t xml:space="preserve">Immediate Priorities</w:t>
      </w:r>
    </w:p>
    <w:p>
      <w:pPr>
        <w:pStyle w:val="ListParagraph"/>
        <w:numPr>
          <w:ilvl w:val="0"/>
          <w:numId w:val="2"/>
        </w:numPr>
        <w:spacing w:before="40" w:after="40"/>
      </w:pPr>
      <w:r>
        <w:rPr>
          <w:rFonts w:ascii="Arial" w:cs="Arial" w:eastAsia="Arial" w:hAnsi="Arial"/>
          <w:b/>
          <w:bCs/>
          <w:color w:val="1B2631"/>
          <w:sz w:val="22"/>
          <w:szCs w:val="22"/>
        </w:rPr>
        <w:t xml:space="preserve">Monitor berth &amp; yard occupancy thresholds: </w:t>
      </w:r>
      <w:r>
        <w:rPr>
          <w:rFonts w:ascii="Arial" w:cs="Arial" w:eastAsia="Arial" w:hAnsi="Arial"/>
          <w:color w:val="2C3E50"/>
          <w:sz w:val="22"/>
          <w:szCs w:val="22"/>
        </w:rPr>
        <w:t xml:space="preserve">flag routes where port_congestion_index &gt; 80 for automated rerouting consideration — this threshold corresponds to near-certain delay territory.</w:t>
      </w:r>
    </w:p>
    <w:p>
      <w:pPr>
        <w:pStyle w:val="ListParagraph"/>
        <w:numPr>
          <w:ilvl w:val="0"/>
          <w:numId w:val="2"/>
        </w:numPr>
        <w:spacing w:before="40" w:after="40"/>
      </w:pPr>
      <w:r>
        <w:rPr>
          <w:rFonts w:ascii="Arial" w:cs="Arial" w:eastAsia="Arial" w:hAnsi="Arial"/>
          <w:b/>
          <w:bCs/>
          <w:color w:val="1B2631"/>
          <w:sz w:val="22"/>
          <w:szCs w:val="22"/>
        </w:rPr>
        <w:t xml:space="preserve">Pre-position shipments ahead of strike alerts: </w:t>
      </w:r>
      <w:r>
        <w:rPr>
          <w:rFonts w:ascii="Arial" w:cs="Arial" w:eastAsia="Arial" w:hAnsi="Arial"/>
          <w:color w:val="2C3E50"/>
          <w:sz w:val="22"/>
          <w:szCs w:val="22"/>
        </w:rPr>
        <w:t xml:space="preserve">strike_alert_level ≥ 3 nearly doubles delay probability; proactive rerouting should be triggered at level 2.</w:t>
      </w:r>
    </w:p>
    <w:p>
      <w:pPr>
        <w:pStyle w:val="ListParagraph"/>
        <w:numPr>
          <w:ilvl w:val="0"/>
          <w:numId w:val="2"/>
        </w:numPr>
        <w:spacing w:before="40" w:after="40"/>
      </w:pPr>
      <w:r>
        <w:rPr>
          <w:rFonts w:ascii="Arial" w:cs="Arial" w:eastAsia="Arial" w:hAnsi="Arial"/>
          <w:b/>
          <w:bCs/>
          <w:color w:val="1B2631"/>
          <w:sz w:val="22"/>
          <w:szCs w:val="22"/>
        </w:rPr>
        <w:t xml:space="preserve">Build carrier-specific buffers: </w:t>
      </w:r>
      <w:r>
        <w:rPr>
          <w:rFonts w:ascii="Arial" w:cs="Arial" w:eastAsia="Arial" w:hAnsi="Arial"/>
          <w:color w:val="2C3E50"/>
          <w:sz w:val="22"/>
          <w:szCs w:val="22"/>
        </w:rPr>
        <w:t xml:space="preserve">carrier_delay_hist reveals systematic underperformers — schedule buffers for consistently high-delay carriers.</w:t>
      </w:r>
    </w:p>
    <w:p>
      <w:pPr>
        <w:spacing w:before="60" w:after="0"/>
      </w:pPr>
    </w:p>
    <w:p>
      <w:pPr>
        <w:pStyle w:val="Heading2"/>
        <w:spacing w:before="240" w:after="60"/>
      </w:pPr>
      <w:r>
        <w:rPr>
          <w:rFonts w:ascii="Arial" w:cs="Arial" w:eastAsia="Arial" w:hAnsi="Arial"/>
          <w:b/>
          <w:bCs/>
          <w:color w:val="148F77"/>
          <w:sz w:val="24"/>
          <w:szCs w:val="24"/>
        </w:rPr>
        <w:t xml:space="preserve">Medium-Term Improvements</w:t>
      </w:r>
    </w:p>
    <w:p>
      <w:pPr>
        <w:pStyle w:val="ListParagraph"/>
        <w:numPr>
          <w:ilvl w:val="0"/>
          <w:numId w:val="2"/>
        </w:numPr>
        <w:spacing w:before="40" w:after="40"/>
      </w:pPr>
      <w:r>
        <w:rPr>
          <w:rFonts w:ascii="Arial" w:cs="Arial" w:eastAsia="Arial" w:hAnsi="Arial"/>
          <w:b/>
          <w:bCs/>
          <w:color w:val="1B2631"/>
          <w:sz w:val="22"/>
          <w:szCs w:val="22"/>
        </w:rPr>
        <w:t xml:space="preserve">Integrate real AIS/EDI feeds: </w:t>
      </w:r>
      <w:r>
        <w:rPr>
          <w:rFonts w:ascii="Arial" w:cs="Arial" w:eastAsia="Arial" w:hAnsi="Arial"/>
          <w:color w:val="2C3E50"/>
          <w:sz w:val="22"/>
          <w:szCs w:val="22"/>
        </w:rPr>
        <w:t xml:space="preserve">the model is designed for live AIS data; connecting a real-time feed would enable production-grade mid-voyage scoring.</w:t>
      </w:r>
    </w:p>
    <w:p>
      <w:pPr>
        <w:pStyle w:val="ListParagraph"/>
        <w:numPr>
          <w:ilvl w:val="0"/>
          <w:numId w:val="2"/>
        </w:numPr>
        <w:spacing w:before="40" w:after="40"/>
      </w:pPr>
      <w:r>
        <w:rPr>
          <w:rFonts w:ascii="Arial" w:cs="Arial" w:eastAsia="Arial" w:hAnsi="Arial"/>
          <w:b/>
          <w:bCs/>
          <w:color w:val="1B2631"/>
          <w:sz w:val="22"/>
          <w:szCs w:val="22"/>
        </w:rPr>
        <w:t xml:space="preserve">Expand port coverage: </w:t>
      </w:r>
      <w:r>
        <w:rPr>
          <w:rFonts w:ascii="Arial" w:cs="Arial" w:eastAsia="Arial" w:hAnsi="Arial"/>
          <w:color w:val="2C3E50"/>
          <w:sz w:val="22"/>
          <w:szCs w:val="22"/>
        </w:rPr>
        <w:t xml:space="preserve">current analysis covers 10 origin ports; extending to secondary transhipment hubs would improve network resilience recommendations.</w:t>
      </w:r>
    </w:p>
    <w:p>
      <w:pPr>
        <w:pStyle w:val="ListParagraph"/>
        <w:numPr>
          <w:ilvl w:val="0"/>
          <w:numId w:val="2"/>
        </w:numPr>
        <w:spacing w:before="40" w:after="40"/>
      </w:pPr>
      <w:r>
        <w:rPr>
          <w:rFonts w:ascii="Arial" w:cs="Arial" w:eastAsia="Arial" w:hAnsi="Arial"/>
          <w:b/>
          <w:bCs/>
          <w:color w:val="1B2631"/>
          <w:sz w:val="22"/>
          <w:szCs w:val="22"/>
        </w:rPr>
        <w:t xml:space="preserve">Seasonal capacity pre-planning: </w:t>
      </w:r>
      <w:r>
        <w:rPr>
          <w:rFonts w:ascii="Arial" w:cs="Arial" w:eastAsia="Arial" w:hAnsi="Arial"/>
          <w:color w:val="2C3E50"/>
          <w:sz w:val="22"/>
          <w:szCs w:val="22"/>
        </w:rPr>
        <w:t xml:space="preserve">Q1 and monsoon season (June–September) show systematic delay spikes; capacity allocation models should reflect these patterns.</w:t>
      </w:r>
    </w:p>
    <w:p>
      <w:pPr>
        <w:spacing w:before="60" w:after="0"/>
      </w:pPr>
    </w:p>
    <w:p>
      <w:pPr>
        <w:pStyle w:val="Heading2"/>
        <w:spacing w:before="240" w:after="60"/>
      </w:pPr>
      <w:r>
        <w:rPr>
          <w:rFonts w:ascii="Arial" w:cs="Arial" w:eastAsia="Arial" w:hAnsi="Arial"/>
          <w:b/>
          <w:bCs/>
          <w:color w:val="148F77"/>
          <w:sz w:val="24"/>
          <w:szCs w:val="24"/>
        </w:rPr>
        <w:t xml:space="preserve">Long-Term Enhancements</w:t>
      </w:r>
    </w:p>
    <w:p>
      <w:pPr>
        <w:pStyle w:val="ListParagraph"/>
        <w:numPr>
          <w:ilvl w:val="0"/>
          <w:numId w:val="2"/>
        </w:numPr>
        <w:spacing w:before="40" w:after="40"/>
      </w:pPr>
      <w:r>
        <w:rPr>
          <w:rFonts w:ascii="Arial" w:cs="Arial" w:eastAsia="Arial" w:hAnsi="Arial"/>
          <w:b/>
          <w:bCs/>
          <w:color w:val="1B2631"/>
          <w:sz w:val="22"/>
          <w:szCs w:val="22"/>
        </w:rPr>
        <w:t xml:space="preserve">Closed-loop retraining: </w:t>
      </w:r>
      <w:r>
        <w:rPr>
          <w:rFonts w:ascii="Arial" w:cs="Arial" w:eastAsia="Arial" w:hAnsi="Arial"/>
          <w:color w:val="2C3E50"/>
          <w:sz w:val="22"/>
          <w:szCs w:val="22"/>
        </w:rPr>
        <w:t xml:space="preserve">implement automated model retraining triggered by data drift on congestion and risk features.</w:t>
      </w:r>
    </w:p>
    <w:p>
      <w:pPr>
        <w:pStyle w:val="ListParagraph"/>
        <w:numPr>
          <w:ilvl w:val="0"/>
          <w:numId w:val="2"/>
        </w:numPr>
        <w:spacing w:before="40" w:after="40"/>
      </w:pPr>
      <w:r>
        <w:rPr>
          <w:rFonts w:ascii="Arial" w:cs="Arial" w:eastAsia="Arial" w:hAnsi="Arial"/>
          <w:b/>
          <w:bCs/>
          <w:color w:val="1B2631"/>
          <w:sz w:val="22"/>
          <w:szCs w:val="22"/>
        </w:rPr>
        <w:t xml:space="preserve">Cost-delay tradeoff optimization: </w:t>
      </w:r>
      <w:r>
        <w:rPr>
          <w:rFonts w:ascii="Arial" w:cs="Arial" w:eastAsia="Arial" w:hAnsi="Arial"/>
          <w:color w:val="2C3E50"/>
          <w:sz w:val="22"/>
          <w:szCs w:val="22"/>
        </w:rPr>
        <w:t xml:space="preserve">extend the LP module to include carrier rate and fuel cost inputs for true economic optimization.</w:t>
      </w:r>
    </w:p>
    <w:p>
      <w:pPr>
        <w:pStyle w:val="ListParagraph"/>
        <w:numPr>
          <w:ilvl w:val="0"/>
          <w:numId w:val="2"/>
        </w:numPr>
        <w:spacing w:before="40" w:after="40"/>
      </w:pPr>
      <w:r>
        <w:rPr>
          <w:rFonts w:ascii="Arial" w:cs="Arial" w:eastAsia="Arial" w:hAnsi="Arial"/>
          <w:b/>
          <w:bCs/>
          <w:color w:val="1B2631"/>
          <w:sz w:val="22"/>
          <w:szCs w:val="22"/>
        </w:rPr>
        <w:t xml:space="preserve">Multi-agent orchestration: </w:t>
      </w:r>
      <w:r>
        <w:rPr>
          <w:rFonts w:ascii="Arial" w:cs="Arial" w:eastAsia="Arial" w:hAnsi="Arial"/>
          <w:color w:val="2C3E50"/>
          <w:sz w:val="22"/>
          <w:szCs w:val="22"/>
        </w:rPr>
        <w:t xml:space="preserve">expand the LangGraph pipeline to include a cost-estimation node and a carrier-negotiation node.</w:t>
      </w:r>
    </w:p>
    <w:p>
      <w:r>
        <w:br w:type="page"/>
      </w:r>
    </w:p>
    <w:p>
      <w:pPr>
        <w:pStyle w:val="Heading1"/>
        <w:spacing w:before="340" w:after="80"/>
      </w:pPr>
      <w:r>
        <w:rPr>
          <w:rFonts w:ascii="Arial" w:cs="Arial" w:eastAsia="Arial" w:hAnsi="Arial"/>
          <w:b/>
          <w:bCs/>
          <w:color w:val="1A5276"/>
          <w:sz w:val="30"/>
          <w:szCs w:val="30"/>
        </w:rPr>
        <w:t xml:space="preserve">9. Project Deliverables</w:t>
      </w:r>
    </w:p>
    <w:p>
      <w:pPr>
        <w:pBdr>
          <w:bottom w:val="single" w:color="2E86C1" w:sz="6" w:space="1"/>
        </w:pBdr>
        <w:spacing w:before="160" w:after="0"/>
      </w:pPr>
    </w:p>
    <w:p>
      <w:pPr>
        <w:spacing w:before="60" w:after="0"/>
      </w:pPr>
    </w:p>
    <w:p>
      <w:pPr>
        <w:pStyle w:val="Heading2"/>
        <w:spacing w:before="240" w:after="60"/>
      </w:pPr>
      <w:r>
        <w:rPr>
          <w:rFonts w:ascii="Arial" w:cs="Arial" w:eastAsia="Arial" w:hAnsi="Arial"/>
          <w:b/>
          <w:bCs/>
          <w:color w:val="148F77"/>
          <w:sz w:val="24"/>
          <w:szCs w:val="24"/>
        </w:rPr>
        <w:t xml:space="preserve">9.1 Technical Components</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5D8DC" w:sz="4"/>
              <w:left w:val="single" w:color="D5D8DC" w:sz="4"/>
              <w:bottom w:val="single" w:color="D5D8DC" w:sz="4"/>
              <w:right w:val="single" w:color="D5D8DC" w:sz="4"/>
            </w:tcBorders>
            <w:shd w:fill="1A527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Deliverable</w:t>
            </w:r>
          </w:p>
        </w:tc>
        <w:tc>
          <w:tcPr>
            <w:tcW w:type="dxa" w:w="5760"/>
            <w:tcBorders>
              <w:top w:val="single" w:color="D5D8DC" w:sz="4"/>
              <w:left w:val="single" w:color="D5D8DC" w:sz="4"/>
              <w:bottom w:val="single" w:color="D5D8DC" w:sz="4"/>
              <w:right w:val="single" w:color="D5D8DC" w:sz="4"/>
            </w:tcBorders>
            <w:shd w:fill="1A527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w:t>
            </w:r>
          </w:p>
        </w:tc>
      </w:tr>
      <w:tr>
        <w:tc>
          <w:tcPr>
            <w:tcW w:type="dxa" w:w="3600"/>
            <w:tcBorders>
              <w:top w:val="single" w:color="D5D8DC" w:sz="4"/>
              <w:left w:val="single" w:color="D5D8DC" w:sz="4"/>
              <w:bottom w:val="single" w:color="D5D8DC" w:sz="4"/>
              <w:right w:val="single" w:color="D5D8DC" w:sz="4"/>
            </w:tcBorders>
            <w:shd w:fill="FDFEFE"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Logistics_Rerouting.ipynb</w:t>
            </w:r>
          </w:p>
        </w:tc>
        <w:tc>
          <w:tcPr>
            <w:tcW w:type="dxa" w:w="5760"/>
            <w:tcBorders>
              <w:top w:val="single" w:color="D5D8DC" w:sz="4"/>
              <w:left w:val="single" w:color="D5D8DC" w:sz="4"/>
              <w:bottom w:val="single" w:color="D5D8DC" w:sz="4"/>
              <w:right w:val="single" w:color="D5D8DC" w:sz="4"/>
            </w:tcBorders>
            <w:shd w:fill="FDFEFE"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4-phase Jupyter notebook — EDA, feature engineering, modeling, tuning, XAI, and LangGraph agent</w:t>
            </w:r>
          </w:p>
        </w:tc>
      </w:tr>
      <w:tr>
        <w:tc>
          <w:tcPr>
            <w:tcW w:type="dxa" w:w="36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app.py</w:t>
            </w:r>
          </w:p>
        </w:tc>
        <w:tc>
          <w:tcPr>
            <w:tcW w:type="dxa" w:w="576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7-tab Streamlit dashboard — full pipeline integration with dark cyberpunk UI</w:t>
            </w:r>
          </w:p>
        </w:tc>
      </w:tr>
      <w:tr>
        <w:tc>
          <w:tcPr>
            <w:tcW w:type="dxa" w:w="3600"/>
            <w:tcBorders>
              <w:top w:val="single" w:color="D5D8DC" w:sz="4"/>
              <w:left w:val="single" w:color="D5D8DC" w:sz="4"/>
              <w:bottom w:val="single" w:color="D5D8DC" w:sz="4"/>
              <w:right w:val="single" w:color="D5D8DC" w:sz="4"/>
            </w:tcBorders>
            <w:shd w:fill="FDFEFE"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logistics_delay_model.pkl</w:t>
            </w:r>
          </w:p>
        </w:tc>
        <w:tc>
          <w:tcPr>
            <w:tcW w:type="dxa" w:w="5760"/>
            <w:tcBorders>
              <w:top w:val="single" w:color="D5D8DC" w:sz="4"/>
              <w:left w:val="single" w:color="D5D8DC" w:sz="4"/>
              <w:bottom w:val="single" w:color="D5D8DC" w:sz="4"/>
              <w:right w:val="single" w:color="D5D8DC" w:sz="4"/>
            </w:tcBorders>
            <w:shd w:fill="FDFEFE"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Serialized tuned HistGradientBoosting model with feature list, scaler, and encoder</w:t>
            </w:r>
          </w:p>
        </w:tc>
      </w:tr>
      <w:tr>
        <w:tc>
          <w:tcPr>
            <w:tcW w:type="dxa" w:w="36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logistics_disruption_dataset.csv</w:t>
            </w:r>
          </w:p>
        </w:tc>
        <w:tc>
          <w:tcPr>
            <w:tcW w:type="dxa" w:w="576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52,034-record dataset (26 features) spanning 10 ports, 30 carriers, 2 transport modes</w:t>
            </w:r>
          </w:p>
        </w:tc>
      </w:tr>
      <w:tr>
        <w:tc>
          <w:tcPr>
            <w:tcW w:type="dxa" w:w="3600"/>
            <w:tcBorders>
              <w:top w:val="single" w:color="D5D8DC" w:sz="4"/>
              <w:left w:val="single" w:color="D5D8DC" w:sz="4"/>
              <w:bottom w:val="single" w:color="D5D8DC" w:sz="4"/>
              <w:right w:val="single" w:color="D5D8DC" w:sz="4"/>
            </w:tcBorders>
            <w:shd w:fill="FDFEFE"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requirements.txt</w:t>
            </w:r>
          </w:p>
        </w:tc>
        <w:tc>
          <w:tcPr>
            <w:tcW w:type="dxa" w:w="5760"/>
            <w:tcBorders>
              <w:top w:val="single" w:color="D5D8DC" w:sz="4"/>
              <w:left w:val="single" w:color="D5D8DC" w:sz="4"/>
              <w:bottom w:val="single" w:color="D5D8DC" w:sz="4"/>
              <w:right w:val="single" w:color="D5D8DC" w:sz="4"/>
            </w:tcBorders>
            <w:shd w:fill="FDFEFE"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Python dependency specification for reproducible environment</w:t>
            </w:r>
          </w:p>
        </w:tc>
      </w:tr>
    </w:tbl>
    <w:p>
      <w:pPr>
        <w:spacing w:before="60" w:after="0"/>
      </w:pPr>
    </w:p>
    <w:p>
      <w:pPr>
        <w:pStyle w:val="Heading2"/>
        <w:spacing w:before="240" w:after="60"/>
      </w:pPr>
      <w:r>
        <w:rPr>
          <w:rFonts w:ascii="Arial" w:cs="Arial" w:eastAsia="Arial" w:hAnsi="Arial"/>
          <w:b/>
          <w:bCs/>
          <w:color w:val="148F77"/>
          <w:sz w:val="24"/>
          <w:szCs w:val="24"/>
        </w:rPr>
        <w:t xml:space="preserve">9.2 Analytical Outputs</w:t>
      </w:r>
    </w:p>
    <w:p>
      <w:pPr>
        <w:pStyle w:val="ListParagraph"/>
        <w:numPr>
          <w:ilvl w:val="0"/>
          <w:numId w:val="2"/>
        </w:numPr>
        <w:spacing w:before="40" w:after="40"/>
      </w:pPr>
      <w:r>
        <w:rPr>
          <w:rFonts w:ascii="Arial" w:cs="Arial" w:eastAsia="Arial" w:hAnsi="Arial"/>
          <w:b/>
          <w:bCs/>
          <w:color w:val="1B2631"/>
          <w:sz w:val="22"/>
          <w:szCs w:val="22"/>
        </w:rPr>
        <w:t xml:space="preserve">Per-shipment risk scores </w:t>
      </w:r>
      <w:r>
        <w:rPr>
          <w:rFonts w:ascii="Arial" w:cs="Arial" w:eastAsia="Arial" w:hAnsi="Arial"/>
          <w:color w:val="2C3E50"/>
          <w:sz w:val="22"/>
          <w:szCs w:val="22"/>
        </w:rPr>
        <w:t xml:space="preserve">with delay probability and risk status (LOW / MEDIUM / HIGH / CRITICAL).</w:t>
      </w:r>
    </w:p>
    <w:p>
      <w:pPr>
        <w:pStyle w:val="ListParagraph"/>
        <w:numPr>
          <w:ilvl w:val="0"/>
          <w:numId w:val="2"/>
        </w:numPr>
        <w:spacing w:before="40" w:after="40"/>
      </w:pPr>
      <w:r>
        <w:rPr>
          <w:rFonts w:ascii="Arial" w:cs="Arial" w:eastAsia="Arial" w:hAnsi="Arial"/>
          <w:b/>
          <w:bCs/>
          <w:color w:val="1B2631"/>
          <w:sz w:val="22"/>
          <w:szCs w:val="22"/>
        </w:rPr>
        <w:t xml:space="preserve">Permutation importance ranking </w:t>
      </w:r>
      <w:r>
        <w:rPr>
          <w:rFonts w:ascii="Arial" w:cs="Arial" w:eastAsia="Arial" w:hAnsi="Arial"/>
          <w:color w:val="2C3E50"/>
          <w:sz w:val="22"/>
          <w:szCs w:val="22"/>
        </w:rPr>
        <w:t xml:space="preserve">of 87+ features with feature-group color coding.</w:t>
      </w:r>
    </w:p>
    <w:p>
      <w:pPr>
        <w:pStyle w:val="ListParagraph"/>
        <w:numPr>
          <w:ilvl w:val="0"/>
          <w:numId w:val="2"/>
        </w:numPr>
        <w:spacing w:before="40" w:after="40"/>
      </w:pPr>
      <w:r>
        <w:rPr>
          <w:rFonts w:ascii="Arial" w:cs="Arial" w:eastAsia="Arial" w:hAnsi="Arial"/>
          <w:b/>
          <w:bCs/>
          <w:color w:val="1B2631"/>
          <w:sz w:val="22"/>
          <w:szCs w:val="22"/>
        </w:rPr>
        <w:t xml:space="preserve">LP-optimized route recommendations </w:t>
      </w:r>
      <w:r>
        <w:rPr>
          <w:rFonts w:ascii="Arial" w:cs="Arial" w:eastAsia="Arial" w:hAnsi="Arial"/>
          <w:color w:val="2C3E50"/>
          <w:sz w:val="22"/>
          <w:szCs w:val="22"/>
        </w:rPr>
        <w:t xml:space="preserve">across 3 disruption scenarios.</w:t>
      </w:r>
    </w:p>
    <w:p>
      <w:pPr>
        <w:pStyle w:val="ListParagraph"/>
        <w:numPr>
          <w:ilvl w:val="0"/>
          <w:numId w:val="2"/>
        </w:numPr>
        <w:spacing w:before="40" w:after="40"/>
      </w:pPr>
      <w:r>
        <w:rPr>
          <w:rFonts w:ascii="Arial" w:cs="Arial" w:eastAsia="Arial" w:hAnsi="Arial"/>
          <w:b/>
          <w:bCs/>
          <w:color w:val="1B2631"/>
          <w:sz w:val="22"/>
          <w:szCs w:val="22"/>
        </w:rPr>
        <w:t xml:space="preserve">LangGraph LLM rerouting recommendations </w:t>
      </w:r>
      <w:r>
        <w:rPr>
          <w:rFonts w:ascii="Arial" w:cs="Arial" w:eastAsia="Arial" w:hAnsi="Arial"/>
          <w:color w:val="2C3E50"/>
          <w:sz w:val="22"/>
          <w:szCs w:val="22"/>
        </w:rPr>
        <w:t xml:space="preserve">in natural language via Groq Llama-3.3-70b.</w:t>
      </w:r>
    </w:p>
    <w:p>
      <w:pPr>
        <w:pStyle w:val="ListParagraph"/>
        <w:numPr>
          <w:ilvl w:val="0"/>
          <w:numId w:val="2"/>
        </w:numPr>
        <w:spacing w:before="40" w:after="40"/>
      </w:pPr>
      <w:r>
        <w:rPr>
          <w:rFonts w:ascii="Arial" w:cs="Arial" w:eastAsia="Arial" w:hAnsi="Arial"/>
          <w:b/>
          <w:bCs/>
          <w:color w:val="1B2631"/>
          <w:sz w:val="22"/>
          <w:szCs w:val="22"/>
        </w:rPr>
        <w:t xml:space="preserve">Geospatial route maps </w:t>
      </w:r>
      <w:r>
        <w:rPr>
          <w:rFonts w:ascii="Arial" w:cs="Arial" w:eastAsia="Arial" w:hAnsi="Arial"/>
          <w:color w:val="2C3E50"/>
          <w:sz w:val="22"/>
          <w:szCs w:val="22"/>
        </w:rPr>
        <w:t xml:space="preserve">with risk-colored arc overlays on global port network.</w:t>
      </w:r>
    </w:p>
    <w:p>
      <w:r>
        <w:br w:type="page"/>
      </w:r>
    </w:p>
    <w:p>
      <w:pPr>
        <w:pStyle w:val="Heading1"/>
        <w:spacing w:before="340" w:after="80"/>
      </w:pPr>
      <w:r>
        <w:rPr>
          <w:rFonts w:ascii="Arial" w:cs="Arial" w:eastAsia="Arial" w:hAnsi="Arial"/>
          <w:b/>
          <w:bCs/>
          <w:color w:val="1A5276"/>
          <w:sz w:val="30"/>
          <w:szCs w:val="30"/>
        </w:rPr>
        <w:t xml:space="preserve">10. Conclusion &amp; Future Work</w:t>
      </w:r>
    </w:p>
    <w:p>
      <w:pPr>
        <w:pBdr>
          <w:bottom w:val="single" w:color="2E86C1" w:sz="6" w:space="1"/>
        </w:pBdr>
        <w:spacing w:before="160" w:after="0"/>
      </w:pPr>
    </w:p>
    <w:p>
      <w:pPr>
        <w:spacing w:before="60" w:after="0"/>
      </w:pPr>
    </w:p>
    <w:p>
      <w:pPr>
        <w:pStyle w:val="Heading2"/>
        <w:spacing w:before="240" w:after="60"/>
      </w:pPr>
      <w:r>
        <w:rPr>
          <w:rFonts w:ascii="Arial" w:cs="Arial" w:eastAsia="Arial" w:hAnsi="Arial"/>
          <w:b/>
          <w:bCs/>
          <w:color w:val="148F77"/>
          <w:sz w:val="24"/>
          <w:szCs w:val="24"/>
        </w:rPr>
        <w:t xml:space="preserve">10.1 Project Summary</w:t>
      </w:r>
    </w:p>
    <w:p>
      <w:pPr>
        <w:spacing w:before="60" w:after="60"/>
      </w:pPr>
      <w:r>
        <w:rPr>
          <w:rFonts w:ascii="Arial" w:cs="Arial" w:eastAsia="Arial" w:hAnsi="Arial"/>
          <w:color w:val="2C3E50"/>
          <w:sz w:val="22"/>
          <w:szCs w:val="22"/>
        </w:rPr>
        <w:t xml:space="preserve">Nexus Logistics AI delivers a production-ready, end-to-end supply chain intelligence platform. The system successfully addresses all four phase requirements of the task: EDA-grounded discovery, robust feature engineering and modeling, explainability-first XAI with LLM agent reasoning, and an interactive multi-tab dashboard. The final model achieves 0.7730 AUC-ROC with 99% precision on delayed shipments, balancing strong predictive power with operational trustworthiness.</w:t>
      </w:r>
    </w:p>
    <w:p>
      <w:pPr>
        <w:spacing w:before="60" w:after="0"/>
      </w:pPr>
    </w:p>
    <w:p>
      <w:pPr>
        <w:pStyle w:val="Heading2"/>
        <w:spacing w:before="240" w:after="60"/>
      </w:pPr>
      <w:r>
        <w:rPr>
          <w:rFonts w:ascii="Arial" w:cs="Arial" w:eastAsia="Arial" w:hAnsi="Arial"/>
          <w:b/>
          <w:bCs/>
          <w:color w:val="148F77"/>
          <w:sz w:val="24"/>
          <w:szCs w:val="24"/>
        </w:rPr>
        <w:t xml:space="preserve">10.2 Limitations</w:t>
      </w:r>
    </w:p>
    <w:p>
      <w:pPr>
        <w:pStyle w:val="ListParagraph"/>
        <w:numPr>
          <w:ilvl w:val="0"/>
          <w:numId w:val="2"/>
        </w:numPr>
        <w:spacing w:before="40" w:after="40"/>
      </w:pPr>
      <w:r>
        <w:rPr>
          <w:rFonts w:ascii="Arial" w:cs="Arial" w:eastAsia="Arial" w:hAnsi="Arial"/>
          <w:b/>
          <w:bCs/>
          <w:color w:val="1B2631"/>
          <w:sz w:val="22"/>
          <w:szCs w:val="22"/>
        </w:rPr>
        <w:t xml:space="preserve">8-hour prediction horizon: </w:t>
      </w:r>
      <w:r>
        <w:rPr>
          <w:rFonts w:ascii="Arial" w:cs="Arial" w:eastAsia="Arial" w:hAnsi="Arial"/>
          <w:color w:val="2C3E50"/>
          <w:sz w:val="22"/>
          <w:szCs w:val="22"/>
        </w:rPr>
        <w:t xml:space="preserve">the model's core tracking signal (transit_delay_8h_bin) is derived from AIS/EDI updates at 8-hour intervals. This means the system can only score delay risk at each checkpoint update — it cannot predict disruptions more than 8 hours ahead of the next position report. Real-time rerouting decisions are therefore bounded by AIS update frequency.</w:t>
      </w:r>
    </w:p>
    <w:p>
      <w:pPr>
        <w:pStyle w:val="ListParagraph"/>
        <w:numPr>
          <w:ilvl w:val="0"/>
          <w:numId w:val="2"/>
        </w:numPr>
        <w:spacing w:before="40" w:after="40"/>
      </w:pPr>
      <w:r>
        <w:rPr>
          <w:rFonts w:ascii="Arial" w:cs="Arial" w:eastAsia="Arial" w:hAnsi="Arial"/>
          <w:b/>
          <w:bCs/>
          <w:color w:val="1B2631"/>
          <w:sz w:val="22"/>
          <w:szCs w:val="22"/>
        </w:rPr>
        <w:t xml:space="preserve">Synthetic-aligned dataset: </w:t>
      </w:r>
      <w:r>
        <w:rPr>
          <w:rFonts w:ascii="Arial" w:cs="Arial" w:eastAsia="Arial" w:hAnsi="Arial"/>
          <w:color w:val="2C3E50"/>
          <w:sz w:val="22"/>
          <w:szCs w:val="22"/>
        </w:rPr>
        <w:t xml:space="preserve">the dataset represents realistic logistics patterns but is not sourced from live AIS/EDI systems. Production deployment requires real-time feed integration to validate model behavior on true operational data.</w:t>
      </w:r>
    </w:p>
    <w:p>
      <w:pPr>
        <w:pStyle w:val="ListParagraph"/>
        <w:numPr>
          <w:ilvl w:val="0"/>
          <w:numId w:val="2"/>
        </w:numPr>
        <w:spacing w:before="40" w:after="40"/>
      </w:pPr>
      <w:r>
        <w:rPr>
          <w:rFonts w:ascii="Arial" w:cs="Arial" w:eastAsia="Arial" w:hAnsi="Arial"/>
          <w:b/>
          <w:bCs/>
          <w:color w:val="1B2631"/>
          <w:sz w:val="22"/>
          <w:szCs w:val="22"/>
        </w:rPr>
        <w:t xml:space="preserve">Single-origin architecture: </w:t>
      </w:r>
      <w:r>
        <w:rPr>
          <w:rFonts w:ascii="Arial" w:cs="Arial" w:eastAsia="Arial" w:hAnsi="Arial"/>
          <w:color w:val="2C3E50"/>
          <w:sz w:val="22"/>
          <w:szCs w:val="22"/>
        </w:rPr>
        <w:t xml:space="preserve">the model predicts delay risk at the origin port; multi-leg voyage risk accumulation across intermediate transhipment hubs is not yet modeled.</w:t>
      </w:r>
    </w:p>
    <w:p>
      <w:pPr>
        <w:pStyle w:val="ListParagraph"/>
        <w:numPr>
          <w:ilvl w:val="0"/>
          <w:numId w:val="2"/>
        </w:numPr>
        <w:spacing w:before="40" w:after="40"/>
      </w:pPr>
      <w:r>
        <w:rPr>
          <w:rFonts w:ascii="Arial" w:cs="Arial" w:eastAsia="Arial" w:hAnsi="Arial"/>
          <w:b/>
          <w:bCs/>
          <w:color w:val="1B2631"/>
          <w:sz w:val="22"/>
          <w:szCs w:val="22"/>
        </w:rPr>
        <w:t xml:space="preserve">Port coverage limited to 10 origin ports: </w:t>
      </w:r>
      <w:r>
        <w:rPr>
          <w:rFonts w:ascii="Arial" w:cs="Arial" w:eastAsia="Arial" w:hAnsi="Arial"/>
          <w:color w:val="2C3E50"/>
          <w:sz w:val="22"/>
          <w:szCs w:val="22"/>
        </w:rPr>
        <w:t xml:space="preserve">the model was trained exclusively on shipments from 10 ports. Predictions for ports outside this set would require retraining or transfer learning.</w:t>
      </w:r>
    </w:p>
    <w:p>
      <w:pPr>
        <w:pStyle w:val="ListParagraph"/>
        <w:numPr>
          <w:ilvl w:val="0"/>
          <w:numId w:val="2"/>
        </w:numPr>
        <w:spacing w:before="40" w:after="40"/>
      </w:pPr>
      <w:r>
        <w:rPr>
          <w:rFonts w:ascii="Arial" w:cs="Arial" w:eastAsia="Arial" w:hAnsi="Arial"/>
          <w:b/>
          <w:bCs/>
          <w:color w:val="1B2631"/>
          <w:sz w:val="22"/>
          <w:szCs w:val="22"/>
        </w:rPr>
        <w:t xml:space="preserve">LP optimizer is static: </w:t>
      </w:r>
      <w:r>
        <w:rPr>
          <w:rFonts w:ascii="Arial" w:cs="Arial" w:eastAsia="Arial" w:hAnsi="Arial"/>
          <w:color w:val="2C3E50"/>
          <w:sz w:val="22"/>
          <w:szCs w:val="22"/>
        </w:rPr>
        <w:t xml:space="preserve">the route optimization runs against fixed scenario parameters (Normal / Strike Alert / Port Closure). It does not account for dynamic intra-day capacity changes or carrier availability windows.</w:t>
      </w:r>
    </w:p>
    <w:p>
      <w:pPr>
        <w:pStyle w:val="ListParagraph"/>
        <w:numPr>
          <w:ilvl w:val="0"/>
          <w:numId w:val="2"/>
        </w:numPr>
        <w:spacing w:before="40" w:after="40"/>
      </w:pPr>
      <w:r>
        <w:rPr>
          <w:rFonts w:ascii="Arial" w:cs="Arial" w:eastAsia="Arial" w:hAnsi="Arial"/>
          <w:b/>
          <w:bCs/>
          <w:color w:val="1B2631"/>
          <w:sz w:val="22"/>
          <w:szCs w:val="22"/>
        </w:rPr>
        <w:t xml:space="preserve">LLM dependency: </w:t>
      </w:r>
      <w:r>
        <w:rPr>
          <w:rFonts w:ascii="Arial" w:cs="Arial" w:eastAsia="Arial" w:hAnsi="Arial"/>
          <w:color w:val="2C3E50"/>
          <w:sz w:val="22"/>
          <w:szCs w:val="22"/>
        </w:rPr>
        <w:t xml:space="preserve">the LangGraph agent requires a valid Groq API key; the dashboard provides a graceful fallback when the agent is unavailable. LLM response quality is also sensitive to prompt context quality.</w:t>
      </w:r>
    </w:p>
    <w:p>
      <w:pPr>
        <w:spacing w:before="60" w:after="0"/>
      </w:pPr>
    </w:p>
    <w:p>
      <w:pPr>
        <w:pStyle w:val="Heading2"/>
        <w:spacing w:before="240" w:after="60"/>
      </w:pPr>
      <w:r>
        <w:rPr>
          <w:rFonts w:ascii="Arial" w:cs="Arial" w:eastAsia="Arial" w:hAnsi="Arial"/>
          <w:b/>
          <w:bCs/>
          <w:color w:val="148F77"/>
          <w:sz w:val="24"/>
          <w:szCs w:val="24"/>
        </w:rPr>
        <w:t xml:space="preserve">10.3 Future Enhancements</w:t>
      </w:r>
    </w:p>
    <w:p>
      <w:pPr>
        <w:pStyle w:val="Heading3"/>
        <w:spacing w:before="180" w:after="40"/>
      </w:pPr>
      <w:r>
        <w:rPr>
          <w:rFonts w:ascii="Arial" w:cs="Arial" w:eastAsia="Arial" w:hAnsi="Arial"/>
          <w:b/>
          <w:bCs/>
          <w:color w:val="1B2631"/>
          <w:sz w:val="22"/>
          <w:szCs w:val="22"/>
        </w:rPr>
        <w:t xml:space="preserve">Personalization &amp; Real-Time Integration</w:t>
      </w:r>
    </w:p>
    <w:p>
      <w:pPr>
        <w:pStyle w:val="ListParagraph"/>
        <w:numPr>
          <w:ilvl w:val="0"/>
          <w:numId w:val="2"/>
        </w:numPr>
        <w:spacing w:before="40" w:after="40"/>
      </w:pPr>
      <w:r>
        <w:rPr>
          <w:rFonts w:ascii="Arial" w:cs="Arial" w:eastAsia="Arial" w:hAnsi="Arial"/>
          <w:b/>
          <w:bCs/>
          <w:color w:val="1B2631"/>
          <w:sz w:val="22"/>
          <w:szCs w:val="22"/>
        </w:rPr>
        <w:t xml:space="preserve">Live AIS/EDI stream ingestion </w:t>
      </w:r>
      <w:r>
        <w:rPr>
          <w:rFonts w:ascii="Arial" w:cs="Arial" w:eastAsia="Arial" w:hAnsi="Arial"/>
          <w:color w:val="2C3E50"/>
          <w:sz w:val="22"/>
          <w:szCs w:val="22"/>
        </w:rPr>
        <w:t xml:space="preserve">for true mid-voyage scoring with sub-hourly refresh.</w:t>
      </w:r>
    </w:p>
    <w:p>
      <w:pPr>
        <w:pStyle w:val="ListParagraph"/>
        <w:numPr>
          <w:ilvl w:val="0"/>
          <w:numId w:val="2"/>
        </w:numPr>
        <w:spacing w:before="40" w:after="40"/>
      </w:pPr>
      <w:r>
        <w:rPr>
          <w:rFonts w:ascii="Arial" w:cs="Arial" w:eastAsia="Arial" w:hAnsi="Arial"/>
          <w:b/>
          <w:bCs/>
          <w:color w:val="1B2631"/>
          <w:sz w:val="22"/>
          <w:szCs w:val="22"/>
        </w:rPr>
        <w:t xml:space="preserve">Segment-specific risk models </w:t>
      </w:r>
      <w:r>
        <w:rPr>
          <w:rFonts w:ascii="Arial" w:cs="Arial" w:eastAsia="Arial" w:hAnsi="Arial"/>
          <w:color w:val="2C3E50"/>
          <w:sz w:val="22"/>
          <w:szCs w:val="22"/>
        </w:rPr>
        <w:t xml:space="preserve">by transport mode and port region.</w:t>
      </w:r>
    </w:p>
    <w:p>
      <w:pPr>
        <w:pStyle w:val="Heading3"/>
        <w:spacing w:before="180" w:after="40"/>
      </w:pPr>
      <w:r>
        <w:rPr>
          <w:rFonts w:ascii="Arial" w:cs="Arial" w:eastAsia="Arial" w:hAnsi="Arial"/>
          <w:b/>
          <w:bCs/>
          <w:color w:val="1B2631"/>
          <w:sz w:val="22"/>
          <w:szCs w:val="22"/>
        </w:rPr>
        <w:t xml:space="preserve">Advanced Modeling</w:t>
      </w:r>
    </w:p>
    <w:p>
      <w:pPr>
        <w:pStyle w:val="ListParagraph"/>
        <w:numPr>
          <w:ilvl w:val="0"/>
          <w:numId w:val="2"/>
        </w:numPr>
        <w:spacing w:before="40" w:after="40"/>
      </w:pPr>
      <w:r>
        <w:rPr>
          <w:rFonts w:ascii="Arial" w:cs="Arial" w:eastAsia="Arial" w:hAnsi="Arial"/>
          <w:b/>
          <w:bCs/>
          <w:color w:val="1B2631"/>
          <w:sz w:val="22"/>
          <w:szCs w:val="22"/>
        </w:rPr>
        <w:t xml:space="preserve">Time-series forecasting layer </w:t>
      </w:r>
      <w:r>
        <w:rPr>
          <w:rFonts w:ascii="Arial" w:cs="Arial" w:eastAsia="Arial" w:hAnsi="Arial"/>
          <w:color w:val="2C3E50"/>
          <w:sz w:val="22"/>
          <w:szCs w:val="22"/>
        </w:rPr>
        <w:t xml:space="preserve">(ARIMA/LSTM) for congestion trajectory prediction.</w:t>
      </w:r>
    </w:p>
    <w:p>
      <w:pPr>
        <w:pStyle w:val="ListParagraph"/>
        <w:numPr>
          <w:ilvl w:val="0"/>
          <w:numId w:val="2"/>
        </w:numPr>
        <w:spacing w:before="40" w:after="40"/>
      </w:pPr>
      <w:r>
        <w:rPr>
          <w:rFonts w:ascii="Arial" w:cs="Arial" w:eastAsia="Arial" w:hAnsi="Arial"/>
          <w:b/>
          <w:bCs/>
          <w:color w:val="1B2631"/>
          <w:sz w:val="22"/>
          <w:szCs w:val="22"/>
        </w:rPr>
        <w:t xml:space="preserve">Multi-objective LP extension </w:t>
      </w:r>
      <w:r>
        <w:rPr>
          <w:rFonts w:ascii="Arial" w:cs="Arial" w:eastAsia="Arial" w:hAnsi="Arial"/>
          <w:color w:val="2C3E50"/>
          <w:sz w:val="22"/>
          <w:szCs w:val="22"/>
        </w:rPr>
        <w:t xml:space="preserve">incorporating carrier cost, fuel price, and environmental penalty.</w:t>
      </w:r>
    </w:p>
    <w:p>
      <w:pPr>
        <w:pStyle w:val="ListParagraph"/>
        <w:numPr>
          <w:ilvl w:val="0"/>
          <w:numId w:val="2"/>
        </w:numPr>
        <w:spacing w:before="40" w:after="40"/>
      </w:pPr>
      <w:r>
        <w:rPr>
          <w:rFonts w:ascii="Arial" w:cs="Arial" w:eastAsia="Arial" w:hAnsi="Arial"/>
          <w:b/>
          <w:bCs/>
          <w:color w:val="1B2631"/>
          <w:sz w:val="22"/>
          <w:szCs w:val="22"/>
        </w:rPr>
        <w:t xml:space="preserve">SHAP TreeExplainer </w:t>
      </w:r>
      <w:r>
        <w:rPr>
          <w:rFonts w:ascii="Arial" w:cs="Arial" w:eastAsia="Arial" w:hAnsi="Arial"/>
          <w:color w:val="2C3E50"/>
          <w:sz w:val="22"/>
          <w:szCs w:val="22"/>
        </w:rPr>
        <w:t xml:space="preserve">integration for exact Shapley value decomposition.</w:t>
      </w:r>
    </w:p>
    <w:p>
      <w:pPr>
        <w:pStyle w:val="Heading3"/>
        <w:spacing w:before="180" w:after="40"/>
      </w:pPr>
      <w:r>
        <w:rPr>
          <w:rFonts w:ascii="Arial" w:cs="Arial" w:eastAsia="Arial" w:hAnsi="Arial"/>
          <w:b/>
          <w:bCs/>
          <w:color w:val="1B2631"/>
          <w:sz w:val="22"/>
          <w:szCs w:val="22"/>
        </w:rPr>
        <w:t xml:space="preserve">Deployment</w:t>
      </w:r>
    </w:p>
    <w:p>
      <w:pPr>
        <w:pStyle w:val="ListParagraph"/>
        <w:numPr>
          <w:ilvl w:val="0"/>
          <w:numId w:val="2"/>
        </w:numPr>
        <w:spacing w:before="40" w:after="40"/>
      </w:pPr>
      <w:r>
        <w:rPr>
          <w:rFonts w:ascii="Arial" w:cs="Arial" w:eastAsia="Arial" w:hAnsi="Arial"/>
          <w:b/>
          <w:bCs/>
          <w:color w:val="1B2631"/>
          <w:sz w:val="22"/>
          <w:szCs w:val="22"/>
        </w:rPr>
        <w:t xml:space="preserve">FastAPI microservice </w:t>
      </w:r>
      <w:r>
        <w:rPr>
          <w:rFonts w:ascii="Arial" w:cs="Arial" w:eastAsia="Arial" w:hAnsi="Arial"/>
          <w:color w:val="2C3E50"/>
          <w:sz w:val="22"/>
          <w:szCs w:val="22"/>
        </w:rPr>
        <w:t xml:space="preserve">wrapping the model for real-time REST scoring endpoint.</w:t>
      </w:r>
    </w:p>
    <w:p>
      <w:pPr>
        <w:pStyle w:val="ListParagraph"/>
        <w:numPr>
          <w:ilvl w:val="0"/>
          <w:numId w:val="2"/>
        </w:numPr>
        <w:spacing w:before="40" w:after="40"/>
      </w:pPr>
      <w:r>
        <w:rPr>
          <w:rFonts w:ascii="Arial" w:cs="Arial" w:eastAsia="Arial" w:hAnsi="Arial"/>
          <w:b/>
          <w:bCs/>
          <w:color w:val="1B2631"/>
          <w:sz w:val="22"/>
          <w:szCs w:val="22"/>
        </w:rPr>
        <w:t xml:space="preserve">Automated alerting: </w:t>
      </w:r>
      <w:r>
        <w:rPr>
          <w:rFonts w:ascii="Arial" w:cs="Arial" w:eastAsia="Arial" w:hAnsi="Arial"/>
          <w:color w:val="2C3E50"/>
          <w:sz w:val="22"/>
          <w:szCs w:val="22"/>
        </w:rPr>
        <w:t xml:space="preserve">push notifications when route risk exceeds CRITICAL threshold.</w:t>
      </w:r>
    </w:p>
    <w:p>
      <w:pPr>
        <w:pStyle w:val="ListParagraph"/>
        <w:numPr>
          <w:ilvl w:val="0"/>
          <w:numId w:val="2"/>
        </w:numPr>
        <w:spacing w:before="40" w:after="40"/>
      </w:pPr>
      <w:r>
        <w:rPr>
          <w:rFonts w:ascii="Arial" w:cs="Arial" w:eastAsia="Arial" w:hAnsi="Arial"/>
          <w:b/>
          <w:bCs/>
          <w:color w:val="1B2631"/>
          <w:sz w:val="22"/>
          <w:szCs w:val="22"/>
        </w:rPr>
        <w:t xml:space="preserve">Continuous retraining pipeline </w:t>
      </w:r>
      <w:r>
        <w:rPr>
          <w:rFonts w:ascii="Arial" w:cs="Arial" w:eastAsia="Arial" w:hAnsi="Arial"/>
          <w:color w:val="2C3E50"/>
          <w:sz w:val="22"/>
          <w:szCs w:val="22"/>
        </w:rPr>
        <w:t xml:space="preserve">triggered by data drift detection on congestion and risk features.</w:t>
      </w:r>
    </w:p>
    <w:p>
      <w:r>
        <w:br w:type="page"/>
      </w:r>
    </w:p>
    <w:p>
      <w:pPr>
        <w:pStyle w:val="Heading1"/>
        <w:spacing w:before="340" w:after="80"/>
      </w:pPr>
      <w:r>
        <w:rPr>
          <w:rFonts w:ascii="Arial" w:cs="Arial" w:eastAsia="Arial" w:hAnsi="Arial"/>
          <w:b/>
          <w:bCs/>
          <w:color w:val="1A5276"/>
          <w:sz w:val="30"/>
          <w:szCs w:val="30"/>
        </w:rPr>
        <w:t xml:space="preserve">Appendix A: Technical Specifications</w:t>
      </w:r>
    </w:p>
    <w:p>
      <w:pPr>
        <w:pBdr>
          <w:bottom w:val="single" w:color="2E86C1" w:sz="6" w:space="1"/>
        </w:pBdr>
        <w:spacing w:before="160" w:after="0"/>
      </w:pPr>
    </w:p>
    <w:p>
      <w:pPr>
        <w:spacing w:before="60" w:after="0"/>
      </w:pPr>
    </w:p>
    <w:p>
      <w:pPr>
        <w:pStyle w:val="Heading2"/>
        <w:spacing w:before="240" w:after="60"/>
      </w:pPr>
      <w:r>
        <w:rPr>
          <w:rFonts w:ascii="Arial" w:cs="Arial" w:eastAsia="Arial" w:hAnsi="Arial"/>
          <w:b/>
          <w:bCs/>
          <w:color w:val="148F77"/>
          <w:sz w:val="24"/>
          <w:szCs w:val="24"/>
        </w:rPr>
        <w:t xml:space="preserve">Model Hyperparameters (Final Tuned Model)</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5D8DC" w:sz="4"/>
              <w:left w:val="single" w:color="D5D8DC" w:sz="4"/>
              <w:bottom w:val="single" w:color="D5D8DC" w:sz="4"/>
              <w:right w:val="single" w:color="D5D8DC" w:sz="4"/>
            </w:tcBorders>
            <w:shd w:fill="1A527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Parameter</w:t>
            </w:r>
          </w:p>
        </w:tc>
        <w:tc>
          <w:tcPr>
            <w:tcW w:type="dxa" w:w="4680"/>
            <w:tcBorders>
              <w:top w:val="single" w:color="D5D8DC" w:sz="4"/>
              <w:left w:val="single" w:color="D5D8DC" w:sz="4"/>
              <w:bottom w:val="single" w:color="D5D8DC" w:sz="4"/>
              <w:right w:val="single" w:color="D5D8DC" w:sz="4"/>
            </w:tcBorders>
            <w:shd w:fill="1A527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Value</w:t>
            </w:r>
          </w:p>
        </w:tc>
      </w:tr>
      <w:tr>
        <w:tc>
          <w:tcPr>
            <w:tcW w:type="dxa" w:w="4680"/>
            <w:tcBorders>
              <w:top w:val="single" w:color="D5D8DC" w:sz="4"/>
              <w:left w:val="single" w:color="D5D8DC" w:sz="4"/>
              <w:bottom w:val="single" w:color="D5D8DC" w:sz="4"/>
              <w:right w:val="single" w:color="D5D8DC" w:sz="4"/>
            </w:tcBorders>
            <w:shd w:fill="FDFEFE"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Algorithm</w:t>
            </w:r>
          </w:p>
        </w:tc>
        <w:tc>
          <w:tcPr>
            <w:tcW w:type="dxa" w:w="4680"/>
            <w:tcBorders>
              <w:top w:val="single" w:color="D5D8DC" w:sz="4"/>
              <w:left w:val="single" w:color="D5D8DC" w:sz="4"/>
              <w:bottom w:val="single" w:color="D5D8DC" w:sz="4"/>
              <w:right w:val="single" w:color="D5D8DC" w:sz="4"/>
            </w:tcBorders>
            <w:shd w:fill="FDFEFE"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HistGradientBoostingClassifier (scikit-learn)</w:t>
            </w:r>
          </w:p>
        </w:tc>
      </w:tr>
      <w:tr>
        <w:tc>
          <w:tcPr>
            <w:tcW w:type="dxa" w:w="468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max_iter</w:t>
            </w:r>
          </w:p>
        </w:tc>
        <w:tc>
          <w:tcPr>
            <w:tcW w:type="dxa" w:w="468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500</w:t>
            </w:r>
          </w:p>
        </w:tc>
      </w:tr>
      <w:tr>
        <w:tc>
          <w:tcPr>
            <w:tcW w:type="dxa" w:w="4680"/>
            <w:tcBorders>
              <w:top w:val="single" w:color="D5D8DC" w:sz="4"/>
              <w:left w:val="single" w:color="D5D8DC" w:sz="4"/>
              <w:bottom w:val="single" w:color="D5D8DC" w:sz="4"/>
              <w:right w:val="single" w:color="D5D8DC" w:sz="4"/>
            </w:tcBorders>
            <w:shd w:fill="FDFEFE"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learning_rate</w:t>
            </w:r>
          </w:p>
        </w:tc>
        <w:tc>
          <w:tcPr>
            <w:tcW w:type="dxa" w:w="4680"/>
            <w:tcBorders>
              <w:top w:val="single" w:color="D5D8DC" w:sz="4"/>
              <w:left w:val="single" w:color="D5D8DC" w:sz="4"/>
              <w:bottom w:val="single" w:color="D5D8DC" w:sz="4"/>
              <w:right w:val="single" w:color="D5D8DC" w:sz="4"/>
            </w:tcBorders>
            <w:shd w:fill="FDFEFE"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0.02</w:t>
            </w:r>
          </w:p>
        </w:tc>
      </w:tr>
      <w:tr>
        <w:tc>
          <w:tcPr>
            <w:tcW w:type="dxa" w:w="468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max_depth</w:t>
            </w:r>
          </w:p>
        </w:tc>
        <w:tc>
          <w:tcPr>
            <w:tcW w:type="dxa" w:w="468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8</w:t>
            </w:r>
          </w:p>
        </w:tc>
      </w:tr>
      <w:tr>
        <w:tc>
          <w:tcPr>
            <w:tcW w:type="dxa" w:w="4680"/>
            <w:tcBorders>
              <w:top w:val="single" w:color="D5D8DC" w:sz="4"/>
              <w:left w:val="single" w:color="D5D8DC" w:sz="4"/>
              <w:bottom w:val="single" w:color="D5D8DC" w:sz="4"/>
              <w:right w:val="single" w:color="D5D8DC" w:sz="4"/>
            </w:tcBorders>
            <w:shd w:fill="FDFEFE"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min_samples_leaf</w:t>
            </w:r>
          </w:p>
        </w:tc>
        <w:tc>
          <w:tcPr>
            <w:tcW w:type="dxa" w:w="4680"/>
            <w:tcBorders>
              <w:top w:val="single" w:color="D5D8DC" w:sz="4"/>
              <w:left w:val="single" w:color="D5D8DC" w:sz="4"/>
              <w:bottom w:val="single" w:color="D5D8DC" w:sz="4"/>
              <w:right w:val="single" w:color="D5D8DC" w:sz="4"/>
            </w:tcBorders>
            <w:shd w:fill="FDFEFE"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6</w:t>
            </w:r>
          </w:p>
        </w:tc>
      </w:tr>
      <w:tr>
        <w:tc>
          <w:tcPr>
            <w:tcW w:type="dxa" w:w="468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l2_regularization</w:t>
            </w:r>
          </w:p>
        </w:tc>
        <w:tc>
          <w:tcPr>
            <w:tcW w:type="dxa" w:w="468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0.01</w:t>
            </w:r>
          </w:p>
        </w:tc>
      </w:tr>
      <w:tr>
        <w:tc>
          <w:tcPr>
            <w:tcW w:type="dxa" w:w="4680"/>
            <w:tcBorders>
              <w:top w:val="single" w:color="D5D8DC" w:sz="4"/>
              <w:left w:val="single" w:color="D5D8DC" w:sz="4"/>
              <w:bottom w:val="single" w:color="D5D8DC" w:sz="4"/>
              <w:right w:val="single" w:color="D5D8DC" w:sz="4"/>
            </w:tcBorders>
            <w:shd w:fill="FDFEFE"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random_state</w:t>
            </w:r>
          </w:p>
        </w:tc>
        <w:tc>
          <w:tcPr>
            <w:tcW w:type="dxa" w:w="4680"/>
            <w:tcBorders>
              <w:top w:val="single" w:color="D5D8DC" w:sz="4"/>
              <w:left w:val="single" w:color="D5D8DC" w:sz="4"/>
              <w:bottom w:val="single" w:color="D5D8DC" w:sz="4"/>
              <w:right w:val="single" w:color="D5D8DC" w:sz="4"/>
            </w:tcBorders>
            <w:shd w:fill="FDFEFE"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42</w:t>
            </w:r>
          </w:p>
        </w:tc>
      </w:tr>
      <w:tr>
        <w:tc>
          <w:tcPr>
            <w:tcW w:type="dxa" w:w="468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Training Method</w:t>
            </w:r>
          </w:p>
        </w:tc>
        <w:tc>
          <w:tcPr>
            <w:tcW w:type="dxa" w:w="468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80/20 chronological split + 3-fold TimeSeriesSplit GridSearchCV</w:t>
            </w:r>
          </w:p>
        </w:tc>
      </w:tr>
    </w:tbl>
    <w:p>
      <w:pPr>
        <w:spacing w:before="80" w:after="0"/>
      </w:pPr>
    </w:p>
    <w:p>
      <w:pPr>
        <w:pStyle w:val="Heading2"/>
        <w:spacing w:before="240" w:after="60"/>
      </w:pPr>
      <w:r>
        <w:rPr>
          <w:rFonts w:ascii="Arial" w:cs="Arial" w:eastAsia="Arial" w:hAnsi="Arial"/>
          <w:b/>
          <w:bCs/>
          <w:color w:val="148F77"/>
          <w:sz w:val="24"/>
          <w:szCs w:val="24"/>
        </w:rPr>
        <w:t xml:space="preserve">Tech Stack</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5D8DC" w:sz="4"/>
              <w:left w:val="single" w:color="D5D8DC" w:sz="4"/>
              <w:bottom w:val="single" w:color="D5D8DC" w:sz="4"/>
              <w:right w:val="single" w:color="D5D8DC" w:sz="4"/>
            </w:tcBorders>
            <w:shd w:fill="1A527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Component</w:t>
            </w:r>
          </w:p>
        </w:tc>
        <w:tc>
          <w:tcPr>
            <w:tcW w:type="dxa" w:w="6240"/>
            <w:tcBorders>
              <w:top w:val="single" w:color="D5D8DC" w:sz="4"/>
              <w:left w:val="single" w:color="D5D8DC" w:sz="4"/>
              <w:bottom w:val="single" w:color="D5D8DC" w:sz="4"/>
              <w:right w:val="single" w:color="D5D8DC" w:sz="4"/>
            </w:tcBorders>
            <w:shd w:fill="1A527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Technology</w:t>
            </w:r>
          </w:p>
        </w:tc>
      </w:tr>
      <w:tr>
        <w:tc>
          <w:tcPr>
            <w:tcW w:type="dxa" w:w="3120"/>
            <w:tcBorders>
              <w:top w:val="single" w:color="D5D8DC" w:sz="4"/>
              <w:left w:val="single" w:color="D5D8DC" w:sz="4"/>
              <w:bottom w:val="single" w:color="D5D8DC" w:sz="4"/>
              <w:right w:val="single" w:color="D5D8DC" w:sz="4"/>
            </w:tcBorders>
            <w:shd w:fill="FDFEFE"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Core Language</w:t>
            </w:r>
          </w:p>
        </w:tc>
        <w:tc>
          <w:tcPr>
            <w:tcW w:type="dxa" w:w="6240"/>
            <w:tcBorders>
              <w:top w:val="single" w:color="D5D8DC" w:sz="4"/>
              <w:left w:val="single" w:color="D5D8DC" w:sz="4"/>
              <w:bottom w:val="single" w:color="D5D8DC" w:sz="4"/>
              <w:right w:val="single" w:color="D5D8DC" w:sz="4"/>
            </w:tcBorders>
            <w:shd w:fill="FDFEFE"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Python 3.11</w:t>
            </w:r>
          </w:p>
        </w:tc>
      </w:tr>
      <w:tr>
        <w:tc>
          <w:tcPr>
            <w:tcW w:type="dxa" w:w="312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ML Framework</w:t>
            </w:r>
          </w:p>
        </w:tc>
        <w:tc>
          <w:tcPr>
            <w:tcW w:type="dxa" w:w="624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scikit-learn (HistGradientBoosting, IsolationForest, permutation_importance)</w:t>
            </w:r>
          </w:p>
        </w:tc>
      </w:tr>
      <w:tr>
        <w:tc>
          <w:tcPr>
            <w:tcW w:type="dxa" w:w="3120"/>
            <w:tcBorders>
              <w:top w:val="single" w:color="D5D8DC" w:sz="4"/>
              <w:left w:val="single" w:color="D5D8DC" w:sz="4"/>
              <w:bottom w:val="single" w:color="D5D8DC" w:sz="4"/>
              <w:right w:val="single" w:color="D5D8DC" w:sz="4"/>
            </w:tcBorders>
            <w:shd w:fill="FDFEFE"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LLM Orchestration</w:t>
            </w:r>
          </w:p>
        </w:tc>
        <w:tc>
          <w:tcPr>
            <w:tcW w:type="dxa" w:w="6240"/>
            <w:tcBorders>
              <w:top w:val="single" w:color="D5D8DC" w:sz="4"/>
              <w:left w:val="single" w:color="D5D8DC" w:sz="4"/>
              <w:bottom w:val="single" w:color="D5D8DC" w:sz="4"/>
              <w:right w:val="single" w:color="D5D8DC" w:sz="4"/>
            </w:tcBorders>
            <w:shd w:fill="FDFEFE"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LangGraph + LangChain Groq (Llama-3.3-70b-versatile)</w:t>
            </w:r>
          </w:p>
        </w:tc>
      </w:tr>
      <w:tr>
        <w:tc>
          <w:tcPr>
            <w:tcW w:type="dxa" w:w="312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Route Optimization</w:t>
            </w:r>
          </w:p>
        </w:tc>
        <w:tc>
          <w:tcPr>
            <w:tcW w:type="dxa" w:w="624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scipy.optimize.linprog</w:t>
            </w:r>
          </w:p>
        </w:tc>
      </w:tr>
      <w:tr>
        <w:tc>
          <w:tcPr>
            <w:tcW w:type="dxa" w:w="3120"/>
            <w:tcBorders>
              <w:top w:val="single" w:color="D5D8DC" w:sz="4"/>
              <w:left w:val="single" w:color="D5D8DC" w:sz="4"/>
              <w:bottom w:val="single" w:color="D5D8DC" w:sz="4"/>
              <w:right w:val="single" w:color="D5D8DC" w:sz="4"/>
            </w:tcBorders>
            <w:shd w:fill="FDFEFE"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Dashboard</w:t>
            </w:r>
          </w:p>
        </w:tc>
        <w:tc>
          <w:tcPr>
            <w:tcW w:type="dxa" w:w="6240"/>
            <w:tcBorders>
              <w:top w:val="single" w:color="D5D8DC" w:sz="4"/>
              <w:left w:val="single" w:color="D5D8DC" w:sz="4"/>
              <w:bottom w:val="single" w:color="D5D8DC" w:sz="4"/>
              <w:right w:val="single" w:color="D5D8DC" w:sz="4"/>
            </w:tcBorders>
            <w:shd w:fill="FDFEFE"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Streamlit + Plotly</w:t>
            </w:r>
          </w:p>
        </w:tc>
      </w:tr>
      <w:tr>
        <w:tc>
          <w:tcPr>
            <w:tcW w:type="dxa" w:w="312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Data Processing</w:t>
            </w:r>
          </w:p>
        </w:tc>
        <w:tc>
          <w:tcPr>
            <w:tcW w:type="dxa" w:w="624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Pandas, NumPy</w:t>
            </w:r>
          </w:p>
        </w:tc>
      </w:tr>
      <w:tr>
        <w:tc>
          <w:tcPr>
            <w:tcW w:type="dxa" w:w="3120"/>
            <w:tcBorders>
              <w:top w:val="single" w:color="D5D8DC" w:sz="4"/>
              <w:left w:val="single" w:color="D5D8DC" w:sz="4"/>
              <w:bottom w:val="single" w:color="D5D8DC" w:sz="4"/>
              <w:right w:val="single" w:color="D5D8DC" w:sz="4"/>
            </w:tcBorders>
            <w:shd w:fill="FDFEFE"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Serialization</w:t>
            </w:r>
          </w:p>
        </w:tc>
        <w:tc>
          <w:tcPr>
            <w:tcW w:type="dxa" w:w="6240"/>
            <w:tcBorders>
              <w:top w:val="single" w:color="D5D8DC" w:sz="4"/>
              <w:left w:val="single" w:color="D5D8DC" w:sz="4"/>
              <w:bottom w:val="single" w:color="D5D8DC" w:sz="4"/>
              <w:right w:val="single" w:color="D5D8DC" w:sz="4"/>
            </w:tcBorders>
            <w:shd w:fill="FDFEFE"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pickle</w:t>
            </w:r>
          </w:p>
        </w:tc>
      </w:tr>
      <w:tr>
        <w:tc>
          <w:tcPr>
            <w:tcW w:type="dxa" w:w="312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Environment</w:t>
            </w:r>
          </w:p>
        </w:tc>
        <w:tc>
          <w:tcPr>
            <w:tcW w:type="dxa" w:w="624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pPr>
              <w:spacing w:before="0" w:after="0"/>
            </w:pPr>
            <w:r>
              <w:rPr>
                <w:rFonts w:ascii="Arial" w:cs="Arial" w:eastAsia="Arial" w:hAnsi="Arial"/>
                <w:color w:val="2C3E50"/>
                <w:sz w:val="20"/>
                <w:szCs w:val="20"/>
              </w:rPr>
              <w:t xml:space="preserve">python-dotenv, conda env (Python 3.11)</w:t>
            </w:r>
          </w:p>
        </w:tc>
      </w:tr>
    </w:tbl>
    <w:p>
      <w:pPr>
        <w:spacing w:before="80" w:after="0"/>
      </w:pPr>
    </w:p>
    <w:p>
      <w:r>
        <w:br w:type="page"/>
      </w:r>
    </w:p>
    <w:p>
      <w:pPr>
        <w:pStyle w:val="Heading1"/>
        <w:spacing w:before="340" w:after="80"/>
      </w:pPr>
      <w:r>
        <w:rPr>
          <w:rFonts w:ascii="Arial" w:cs="Arial" w:eastAsia="Arial" w:hAnsi="Arial"/>
          <w:b/>
          <w:bCs/>
          <w:color w:val="1A5276"/>
          <w:sz w:val="30"/>
          <w:szCs w:val="30"/>
        </w:rPr>
        <w:t xml:space="preserve">Appendix B: Dataset Feature Glossary</w:t>
      </w:r>
    </w:p>
    <w:p>
      <w:pPr>
        <w:pBdr>
          <w:bottom w:val="single" w:color="2E86C1" w:sz="6" w:space="1"/>
        </w:pBdr>
        <w:spacing w:before="160" w:after="0"/>
      </w:pP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c>
          <w:tcPr>
            <w:tcW w:type="dxa" w:w="3000"/>
            <w:tcBorders>
              <w:top w:val="single" w:color="D5D8DC" w:sz="4"/>
              <w:left w:val="single" w:color="D5D8DC" w:sz="4"/>
              <w:bottom w:val="single" w:color="D5D8DC" w:sz="4"/>
              <w:right w:val="single" w:color="D5D8DC" w:sz="4"/>
            </w:tcBorders>
            <w:shd w:fill="1A5276" w:val="clear"/>
            <w:tcMar>
              <w:top w:type="dxa" w:w="50"/>
              <w:left w:type="dxa" w:w="120"/>
              <w:bottom w:type="dxa" w:w="50"/>
              <w:right w:type="dxa" w:w="120"/>
            </w:tcMar>
          </w:tcPr>
          <w:p>
            <w:pPr>
              <w:spacing w:before="0" w:after="0"/>
            </w:pPr>
            <w:r>
              <w:rPr>
                <w:rFonts w:ascii="Arial" w:cs="Arial" w:eastAsia="Arial" w:hAnsi="Arial"/>
                <w:b/>
                <w:bCs/>
                <w:color w:val="FFFFFF"/>
                <w:sz w:val="20"/>
                <w:szCs w:val="20"/>
              </w:rPr>
              <w:t xml:space="preserve">Feature</w:t>
            </w:r>
          </w:p>
        </w:tc>
        <w:tc>
          <w:tcPr>
            <w:tcW w:type="dxa" w:w="1200"/>
            <w:tcBorders>
              <w:top w:val="single" w:color="D5D8DC" w:sz="4"/>
              <w:left w:val="single" w:color="D5D8DC" w:sz="4"/>
              <w:bottom w:val="single" w:color="D5D8DC" w:sz="4"/>
              <w:right w:val="single" w:color="D5D8DC" w:sz="4"/>
            </w:tcBorders>
            <w:shd w:fill="1A5276" w:val="clear"/>
            <w:tcMar>
              <w:top w:type="dxa" w:w="50"/>
              <w:left w:type="dxa" w:w="120"/>
              <w:bottom w:type="dxa" w:w="50"/>
              <w:right w:type="dxa" w:w="120"/>
            </w:tcMar>
          </w:tcPr>
          <w:p>
            <w:pPr>
              <w:spacing w:before="0" w:after="0"/>
            </w:pPr>
            <w:r>
              <w:rPr>
                <w:rFonts w:ascii="Arial" w:cs="Arial" w:eastAsia="Arial" w:hAnsi="Arial"/>
                <w:b/>
                <w:bCs/>
                <w:color w:val="FFFFFF"/>
                <w:sz w:val="20"/>
                <w:szCs w:val="20"/>
              </w:rPr>
              <w:t xml:space="preserve">Type</w:t>
            </w:r>
          </w:p>
        </w:tc>
        <w:tc>
          <w:tcPr>
            <w:tcW w:type="dxa" w:w="5160"/>
            <w:tcBorders>
              <w:top w:val="single" w:color="D5D8DC" w:sz="4"/>
              <w:left w:val="single" w:color="D5D8DC" w:sz="4"/>
              <w:bottom w:val="single" w:color="D5D8DC" w:sz="4"/>
              <w:right w:val="single" w:color="D5D8DC" w:sz="4"/>
            </w:tcBorders>
            <w:shd w:fill="1A5276" w:val="clear"/>
            <w:tcMar>
              <w:top w:type="dxa" w:w="50"/>
              <w:left w:type="dxa" w:w="120"/>
              <w:bottom w:type="dxa" w:w="50"/>
              <w:right w:type="dxa" w:w="120"/>
            </w:tcMar>
          </w:tcPr>
          <w:p>
            <w:pPr>
              <w:spacing w:before="0" w:after="0"/>
            </w:pPr>
            <w:r>
              <w:rPr>
                <w:rFonts w:ascii="Arial" w:cs="Arial" w:eastAsia="Arial" w:hAnsi="Arial"/>
                <w:b/>
                <w:bCs/>
                <w:color w:val="FFFFFF"/>
                <w:sz w:val="20"/>
                <w:szCs w:val="20"/>
              </w:rPr>
              <w:t xml:space="preserve">Description</w:t>
            </w:r>
          </w:p>
        </w:tc>
      </w:tr>
      <w:tr>
        <w:tc>
          <w:tcPr>
            <w:tcW w:type="dxa" w:w="3000"/>
            <w:tcBorders>
              <w:top w:val="single" w:color="D5D8DC" w:sz="4"/>
              <w:left w:val="single" w:color="D5D8DC" w:sz="4"/>
              <w:bottom w:val="single" w:color="D5D8DC" w:sz="4"/>
              <w:right w:val="single" w:color="D5D8DC" w:sz="4"/>
            </w:tcBorders>
            <w:shd w:fill="FDFEFE" w:val="clear"/>
            <w:tcMar>
              <w:top w:type="dxa" w:w="50"/>
              <w:left w:type="dxa" w:w="120"/>
              <w:bottom w:type="dxa" w:w="50"/>
              <w:right w:type="dxa" w:w="120"/>
            </w:tcMar>
          </w:tcPr>
          <w:p>
            <w:pPr>
              <w:spacing w:before="0" w:after="0"/>
            </w:pPr>
            <w:r>
              <w:rPr>
                <w:rFonts w:ascii="Arial" w:cs="Arial" w:eastAsia="Arial" w:hAnsi="Arial"/>
                <w:color w:val="2C3E50"/>
                <w:sz w:val="20"/>
                <w:szCs w:val="20"/>
              </w:rPr>
              <w:t xml:space="preserve">shipment_id</w:t>
            </w:r>
          </w:p>
        </w:tc>
        <w:tc>
          <w:tcPr>
            <w:tcW w:type="dxa" w:w="1200"/>
            <w:tcBorders>
              <w:top w:val="single" w:color="D5D8DC" w:sz="4"/>
              <w:left w:val="single" w:color="D5D8DC" w:sz="4"/>
              <w:bottom w:val="single" w:color="D5D8DC" w:sz="4"/>
              <w:right w:val="single" w:color="D5D8DC" w:sz="4"/>
            </w:tcBorders>
            <w:shd w:fill="FDFEFE" w:val="clear"/>
            <w:tcMar>
              <w:top w:type="dxa" w:w="50"/>
              <w:left w:type="dxa" w:w="120"/>
              <w:bottom w:type="dxa" w:w="50"/>
              <w:right w:type="dxa" w:w="120"/>
            </w:tcMar>
          </w:tcPr>
          <w:p>
            <w:pPr>
              <w:spacing w:before="0" w:after="0"/>
            </w:pPr>
            <w:r>
              <w:rPr>
                <w:rFonts w:ascii="Arial" w:cs="Arial" w:eastAsia="Arial" w:hAnsi="Arial"/>
                <w:color w:val="2C3E50"/>
                <w:sz w:val="20"/>
                <w:szCs w:val="20"/>
              </w:rPr>
              <w:t xml:space="preserve">ID</w:t>
            </w:r>
          </w:p>
        </w:tc>
        <w:tc>
          <w:tcPr>
            <w:tcW w:type="dxa" w:w="5160"/>
            <w:tcBorders>
              <w:top w:val="single" w:color="D5D8DC" w:sz="4"/>
              <w:left w:val="single" w:color="D5D8DC" w:sz="4"/>
              <w:bottom w:val="single" w:color="D5D8DC" w:sz="4"/>
              <w:right w:val="single" w:color="D5D8DC" w:sz="4"/>
            </w:tcBorders>
            <w:shd w:fill="FDFEFE" w:val="clear"/>
            <w:tcMar>
              <w:top w:type="dxa" w:w="50"/>
              <w:left w:type="dxa" w:w="120"/>
              <w:bottom w:type="dxa" w:w="50"/>
              <w:right w:type="dxa" w:w="120"/>
            </w:tcMar>
          </w:tcPr>
          <w:p>
            <w:pPr>
              <w:spacing w:before="0" w:after="0"/>
            </w:pPr>
            <w:r>
              <w:rPr>
                <w:rFonts w:ascii="Arial" w:cs="Arial" w:eastAsia="Arial" w:hAnsi="Arial"/>
                <w:color w:val="2C3E50"/>
                <w:sz w:val="20"/>
                <w:szCs w:val="20"/>
              </w:rPr>
              <w:t xml:space="preserve">Unique shipment identifier per voyage leg</w:t>
            </w:r>
          </w:p>
        </w:tc>
      </w:tr>
      <w:tr>
        <w:tc>
          <w:tcPr>
            <w:tcW w:type="dxa" w:w="3000"/>
            <w:tcBorders>
              <w:top w:val="single" w:color="D5D8DC" w:sz="4"/>
              <w:left w:val="single" w:color="D5D8DC" w:sz="4"/>
              <w:bottom w:val="single" w:color="D5D8DC" w:sz="4"/>
              <w:right w:val="single" w:color="D5D8DC" w:sz="4"/>
            </w:tcBorders>
            <w:shd w:fill="EBF5FB" w:val="clear"/>
            <w:tcMar>
              <w:top w:type="dxa" w:w="50"/>
              <w:left w:type="dxa" w:w="120"/>
              <w:bottom w:type="dxa" w:w="50"/>
              <w:right w:type="dxa" w:w="120"/>
            </w:tcMar>
          </w:tcPr>
          <w:p>
            <w:pPr>
              <w:spacing w:before="0" w:after="0"/>
            </w:pPr>
            <w:r>
              <w:rPr>
                <w:rFonts w:ascii="Arial" w:cs="Arial" w:eastAsia="Arial" w:hAnsi="Arial"/>
                <w:color w:val="2C3E50"/>
                <w:sz w:val="20"/>
                <w:szCs w:val="20"/>
              </w:rPr>
              <w:t xml:space="preserve">timestamp</w:t>
            </w:r>
          </w:p>
        </w:tc>
        <w:tc>
          <w:tcPr>
            <w:tcW w:type="dxa" w:w="1200"/>
            <w:tcBorders>
              <w:top w:val="single" w:color="D5D8DC" w:sz="4"/>
              <w:left w:val="single" w:color="D5D8DC" w:sz="4"/>
              <w:bottom w:val="single" w:color="D5D8DC" w:sz="4"/>
              <w:right w:val="single" w:color="D5D8DC" w:sz="4"/>
            </w:tcBorders>
            <w:shd w:fill="EBF5FB" w:val="clear"/>
            <w:tcMar>
              <w:top w:type="dxa" w:w="50"/>
              <w:left w:type="dxa" w:w="120"/>
              <w:bottom w:type="dxa" w:w="50"/>
              <w:right w:type="dxa" w:w="120"/>
            </w:tcMar>
          </w:tcPr>
          <w:p>
            <w:pPr>
              <w:spacing w:before="0" w:after="0"/>
            </w:pPr>
            <w:r>
              <w:rPr>
                <w:rFonts w:ascii="Arial" w:cs="Arial" w:eastAsia="Arial" w:hAnsi="Arial"/>
                <w:color w:val="2C3E50"/>
                <w:sz w:val="20"/>
                <w:szCs w:val="20"/>
              </w:rPr>
              <w:t xml:space="preserve">Datetime</w:t>
            </w:r>
          </w:p>
        </w:tc>
        <w:tc>
          <w:tcPr>
            <w:tcW w:type="dxa" w:w="5160"/>
            <w:tcBorders>
              <w:top w:val="single" w:color="D5D8DC" w:sz="4"/>
              <w:left w:val="single" w:color="D5D8DC" w:sz="4"/>
              <w:bottom w:val="single" w:color="D5D8DC" w:sz="4"/>
              <w:right w:val="single" w:color="D5D8DC" w:sz="4"/>
            </w:tcBorders>
            <w:shd w:fill="EBF5FB" w:val="clear"/>
            <w:tcMar>
              <w:top w:type="dxa" w:w="50"/>
              <w:left w:type="dxa" w:w="120"/>
              <w:bottom w:type="dxa" w:w="50"/>
              <w:right w:type="dxa" w:w="120"/>
            </w:tcMar>
          </w:tcPr>
          <w:p>
            <w:pPr>
              <w:spacing w:before="0" w:after="0"/>
            </w:pPr>
            <w:r>
              <w:rPr>
                <w:rFonts w:ascii="Arial" w:cs="Arial" w:eastAsia="Arial" w:hAnsi="Arial"/>
                <w:color w:val="2C3E50"/>
                <w:sz w:val="20"/>
                <w:szCs w:val="20"/>
              </w:rPr>
              <w:t xml:space="preserve">Voyage observation timestamp (sorted chronologically)</w:t>
            </w:r>
          </w:p>
        </w:tc>
      </w:tr>
      <w:tr>
        <w:tc>
          <w:tcPr>
            <w:tcW w:type="dxa" w:w="3000"/>
            <w:tcBorders>
              <w:top w:val="single" w:color="D5D8DC" w:sz="4"/>
              <w:left w:val="single" w:color="D5D8DC" w:sz="4"/>
              <w:bottom w:val="single" w:color="D5D8DC" w:sz="4"/>
              <w:right w:val="single" w:color="D5D8DC" w:sz="4"/>
            </w:tcBorders>
            <w:shd w:fill="FDFEFE" w:val="clear"/>
            <w:tcMar>
              <w:top w:type="dxa" w:w="50"/>
              <w:left w:type="dxa" w:w="120"/>
              <w:bottom w:type="dxa" w:w="50"/>
              <w:right w:type="dxa" w:w="120"/>
            </w:tcMar>
          </w:tcPr>
          <w:p>
            <w:pPr>
              <w:spacing w:before="0" w:after="0"/>
            </w:pPr>
            <w:r>
              <w:rPr>
                <w:rFonts w:ascii="Arial" w:cs="Arial" w:eastAsia="Arial" w:hAnsi="Arial"/>
                <w:color w:val="2C3E50"/>
                <w:sz w:val="20"/>
                <w:szCs w:val="20"/>
              </w:rPr>
              <w:t xml:space="preserve">origin_port / destination_port</w:t>
            </w:r>
          </w:p>
        </w:tc>
        <w:tc>
          <w:tcPr>
            <w:tcW w:type="dxa" w:w="1200"/>
            <w:tcBorders>
              <w:top w:val="single" w:color="D5D8DC" w:sz="4"/>
              <w:left w:val="single" w:color="D5D8DC" w:sz="4"/>
              <w:bottom w:val="single" w:color="D5D8DC" w:sz="4"/>
              <w:right w:val="single" w:color="D5D8DC" w:sz="4"/>
            </w:tcBorders>
            <w:shd w:fill="FDFEFE" w:val="clear"/>
            <w:tcMar>
              <w:top w:type="dxa" w:w="50"/>
              <w:left w:type="dxa" w:w="120"/>
              <w:bottom w:type="dxa" w:w="50"/>
              <w:right w:type="dxa" w:w="120"/>
            </w:tcMar>
          </w:tcPr>
          <w:p>
            <w:pPr>
              <w:spacing w:before="0" w:after="0"/>
            </w:pPr>
            <w:r>
              <w:rPr>
                <w:rFonts w:ascii="Arial" w:cs="Arial" w:eastAsia="Arial" w:hAnsi="Arial"/>
                <w:color w:val="2C3E50"/>
                <w:sz w:val="20"/>
                <w:szCs w:val="20"/>
              </w:rPr>
              <w:t xml:space="preserve">Categorical</w:t>
            </w:r>
          </w:p>
        </w:tc>
        <w:tc>
          <w:tcPr>
            <w:tcW w:type="dxa" w:w="5160"/>
            <w:tcBorders>
              <w:top w:val="single" w:color="D5D8DC" w:sz="4"/>
              <w:left w:val="single" w:color="D5D8DC" w:sz="4"/>
              <w:bottom w:val="single" w:color="D5D8DC" w:sz="4"/>
              <w:right w:val="single" w:color="D5D8DC" w:sz="4"/>
            </w:tcBorders>
            <w:shd w:fill="FDFEFE" w:val="clear"/>
            <w:tcMar>
              <w:top w:type="dxa" w:w="50"/>
              <w:left w:type="dxa" w:w="120"/>
              <w:bottom w:type="dxa" w:w="50"/>
              <w:right w:type="dxa" w:w="120"/>
            </w:tcMar>
          </w:tcPr>
          <w:p>
            <w:pPr>
              <w:spacing w:before="0" w:after="0"/>
            </w:pPr>
            <w:r>
              <w:rPr>
                <w:rFonts w:ascii="Arial" w:cs="Arial" w:eastAsia="Arial" w:hAnsi="Arial"/>
                <w:color w:val="2C3E50"/>
                <w:sz w:val="20"/>
                <w:szCs w:val="20"/>
              </w:rPr>
              <w:t xml:space="preserve">Origin and destination port names (10 unique origin ports)</w:t>
            </w:r>
          </w:p>
        </w:tc>
      </w:tr>
      <w:tr>
        <w:tc>
          <w:tcPr>
            <w:tcW w:type="dxa" w:w="3000"/>
            <w:tcBorders>
              <w:top w:val="single" w:color="D5D8DC" w:sz="4"/>
              <w:left w:val="single" w:color="D5D8DC" w:sz="4"/>
              <w:bottom w:val="single" w:color="D5D8DC" w:sz="4"/>
              <w:right w:val="single" w:color="D5D8DC" w:sz="4"/>
            </w:tcBorders>
            <w:shd w:fill="EBF5FB" w:val="clear"/>
            <w:tcMar>
              <w:top w:type="dxa" w:w="50"/>
              <w:left w:type="dxa" w:w="120"/>
              <w:bottom w:type="dxa" w:w="50"/>
              <w:right w:type="dxa" w:w="120"/>
            </w:tcMar>
          </w:tcPr>
          <w:p>
            <w:pPr>
              <w:spacing w:before="0" w:after="0"/>
            </w:pPr>
            <w:r>
              <w:rPr>
                <w:rFonts w:ascii="Arial" w:cs="Arial" w:eastAsia="Arial" w:hAnsi="Arial"/>
                <w:color w:val="2C3E50"/>
                <w:sz w:val="20"/>
                <w:szCs w:val="20"/>
              </w:rPr>
              <w:t xml:space="preserve">carrier_id</w:t>
            </w:r>
          </w:p>
        </w:tc>
        <w:tc>
          <w:tcPr>
            <w:tcW w:type="dxa" w:w="1200"/>
            <w:tcBorders>
              <w:top w:val="single" w:color="D5D8DC" w:sz="4"/>
              <w:left w:val="single" w:color="D5D8DC" w:sz="4"/>
              <w:bottom w:val="single" w:color="D5D8DC" w:sz="4"/>
              <w:right w:val="single" w:color="D5D8DC" w:sz="4"/>
            </w:tcBorders>
            <w:shd w:fill="EBF5FB" w:val="clear"/>
            <w:tcMar>
              <w:top w:type="dxa" w:w="50"/>
              <w:left w:type="dxa" w:w="120"/>
              <w:bottom w:type="dxa" w:w="50"/>
              <w:right w:type="dxa" w:w="120"/>
            </w:tcMar>
          </w:tcPr>
          <w:p>
            <w:pPr>
              <w:spacing w:before="0" w:after="0"/>
            </w:pPr>
            <w:r>
              <w:rPr>
                <w:rFonts w:ascii="Arial" w:cs="Arial" w:eastAsia="Arial" w:hAnsi="Arial"/>
                <w:color w:val="2C3E50"/>
                <w:sz w:val="20"/>
                <w:szCs w:val="20"/>
              </w:rPr>
              <w:t xml:space="preserve">Categorical</w:t>
            </w:r>
          </w:p>
        </w:tc>
        <w:tc>
          <w:tcPr>
            <w:tcW w:type="dxa" w:w="5160"/>
            <w:tcBorders>
              <w:top w:val="single" w:color="D5D8DC" w:sz="4"/>
              <w:left w:val="single" w:color="D5D8DC" w:sz="4"/>
              <w:bottom w:val="single" w:color="D5D8DC" w:sz="4"/>
              <w:right w:val="single" w:color="D5D8DC" w:sz="4"/>
            </w:tcBorders>
            <w:shd w:fill="EBF5FB" w:val="clear"/>
            <w:tcMar>
              <w:top w:type="dxa" w:w="50"/>
              <w:left w:type="dxa" w:w="120"/>
              <w:bottom w:type="dxa" w:w="50"/>
              <w:right w:type="dxa" w:w="120"/>
            </w:tcMar>
          </w:tcPr>
          <w:p>
            <w:pPr>
              <w:spacing w:before="0" w:after="0"/>
            </w:pPr>
            <w:r>
              <w:rPr>
                <w:rFonts w:ascii="Arial" w:cs="Arial" w:eastAsia="Arial" w:hAnsi="Arial"/>
                <w:color w:val="2C3E50"/>
                <w:sz w:val="20"/>
                <w:szCs w:val="20"/>
              </w:rPr>
              <w:t xml:space="preserve">Carrier/logistics operator identifier (30 unique)</w:t>
            </w:r>
          </w:p>
        </w:tc>
      </w:tr>
      <w:tr>
        <w:tc>
          <w:tcPr>
            <w:tcW w:type="dxa" w:w="3000"/>
            <w:tcBorders>
              <w:top w:val="single" w:color="D5D8DC" w:sz="4"/>
              <w:left w:val="single" w:color="D5D8DC" w:sz="4"/>
              <w:bottom w:val="single" w:color="D5D8DC" w:sz="4"/>
              <w:right w:val="single" w:color="D5D8DC" w:sz="4"/>
            </w:tcBorders>
            <w:shd w:fill="FDFEFE" w:val="clear"/>
            <w:tcMar>
              <w:top w:type="dxa" w:w="50"/>
              <w:left w:type="dxa" w:w="120"/>
              <w:bottom w:type="dxa" w:w="50"/>
              <w:right w:type="dxa" w:w="120"/>
            </w:tcMar>
          </w:tcPr>
          <w:p>
            <w:pPr>
              <w:spacing w:before="0" w:after="0"/>
            </w:pPr>
            <w:r>
              <w:rPr>
                <w:rFonts w:ascii="Arial" w:cs="Arial" w:eastAsia="Arial" w:hAnsi="Arial"/>
                <w:color w:val="2C3E50"/>
                <w:sz w:val="20"/>
                <w:szCs w:val="20"/>
              </w:rPr>
              <w:t xml:space="preserve">transport_mode</w:t>
            </w:r>
          </w:p>
        </w:tc>
        <w:tc>
          <w:tcPr>
            <w:tcW w:type="dxa" w:w="1200"/>
            <w:tcBorders>
              <w:top w:val="single" w:color="D5D8DC" w:sz="4"/>
              <w:left w:val="single" w:color="D5D8DC" w:sz="4"/>
              <w:bottom w:val="single" w:color="D5D8DC" w:sz="4"/>
              <w:right w:val="single" w:color="D5D8DC" w:sz="4"/>
            </w:tcBorders>
            <w:shd w:fill="FDFEFE" w:val="clear"/>
            <w:tcMar>
              <w:top w:type="dxa" w:w="50"/>
              <w:left w:type="dxa" w:w="120"/>
              <w:bottom w:type="dxa" w:w="50"/>
              <w:right w:type="dxa" w:w="120"/>
            </w:tcMar>
          </w:tcPr>
          <w:p>
            <w:pPr>
              <w:spacing w:before="0" w:after="0"/>
            </w:pPr>
            <w:r>
              <w:rPr>
                <w:rFonts w:ascii="Arial" w:cs="Arial" w:eastAsia="Arial" w:hAnsi="Arial"/>
                <w:color w:val="2C3E50"/>
                <w:sz w:val="20"/>
                <w:szCs w:val="20"/>
              </w:rPr>
              <w:t xml:space="preserve">Categorical</w:t>
            </w:r>
          </w:p>
        </w:tc>
        <w:tc>
          <w:tcPr>
            <w:tcW w:type="dxa" w:w="5160"/>
            <w:tcBorders>
              <w:top w:val="single" w:color="D5D8DC" w:sz="4"/>
              <w:left w:val="single" w:color="D5D8DC" w:sz="4"/>
              <w:bottom w:val="single" w:color="D5D8DC" w:sz="4"/>
              <w:right w:val="single" w:color="D5D8DC" w:sz="4"/>
            </w:tcBorders>
            <w:shd w:fill="FDFEFE" w:val="clear"/>
            <w:tcMar>
              <w:top w:type="dxa" w:w="50"/>
              <w:left w:type="dxa" w:w="120"/>
              <w:bottom w:type="dxa" w:w="50"/>
              <w:right w:type="dxa" w:w="120"/>
            </w:tcMar>
          </w:tcPr>
          <w:p>
            <w:pPr>
              <w:spacing w:before="0" w:after="0"/>
            </w:pPr>
            <w:r>
              <w:rPr>
                <w:rFonts w:ascii="Arial" w:cs="Arial" w:eastAsia="Arial" w:hAnsi="Arial"/>
                <w:color w:val="2C3E50"/>
                <w:sz w:val="20"/>
                <w:szCs w:val="20"/>
              </w:rPr>
              <w:t xml:space="preserve">Mode of transport: Sea (65.1%), Rail (20.2%), Truck (14.7%)</w:t>
            </w:r>
          </w:p>
        </w:tc>
      </w:tr>
      <w:tr>
        <w:tc>
          <w:tcPr>
            <w:tcW w:type="dxa" w:w="3000"/>
            <w:tcBorders>
              <w:top w:val="single" w:color="D5D8DC" w:sz="4"/>
              <w:left w:val="single" w:color="D5D8DC" w:sz="4"/>
              <w:bottom w:val="single" w:color="D5D8DC" w:sz="4"/>
              <w:right w:val="single" w:color="D5D8DC" w:sz="4"/>
            </w:tcBorders>
            <w:shd w:fill="EBF5FB" w:val="clear"/>
            <w:tcMar>
              <w:top w:type="dxa" w:w="50"/>
              <w:left w:type="dxa" w:w="120"/>
              <w:bottom w:type="dxa" w:w="50"/>
              <w:right w:type="dxa" w:w="120"/>
            </w:tcMar>
          </w:tcPr>
          <w:p>
            <w:pPr>
              <w:spacing w:before="0" w:after="0"/>
            </w:pPr>
            <w:r>
              <w:rPr>
                <w:rFonts w:ascii="Arial" w:cs="Arial" w:eastAsia="Arial" w:hAnsi="Arial"/>
                <w:color w:val="2C3E50"/>
                <w:sz w:val="20"/>
                <w:szCs w:val="20"/>
              </w:rPr>
              <w:t xml:space="preserve">scheduled_transit_days</w:t>
            </w:r>
          </w:p>
        </w:tc>
        <w:tc>
          <w:tcPr>
            <w:tcW w:type="dxa" w:w="1200"/>
            <w:tcBorders>
              <w:top w:val="single" w:color="D5D8DC" w:sz="4"/>
              <w:left w:val="single" w:color="D5D8DC" w:sz="4"/>
              <w:bottom w:val="single" w:color="D5D8DC" w:sz="4"/>
              <w:right w:val="single" w:color="D5D8DC" w:sz="4"/>
            </w:tcBorders>
            <w:shd w:fill="EBF5FB" w:val="clear"/>
            <w:tcMar>
              <w:top w:type="dxa" w:w="50"/>
              <w:left w:type="dxa" w:w="120"/>
              <w:bottom w:type="dxa" w:w="50"/>
              <w:right w:type="dxa" w:w="120"/>
            </w:tcMar>
          </w:tcPr>
          <w:p>
            <w:pPr>
              <w:spacing w:before="0" w:after="0"/>
            </w:pPr>
            <w:r>
              <w:rPr>
                <w:rFonts w:ascii="Arial" w:cs="Arial" w:eastAsia="Arial" w:hAnsi="Arial"/>
                <w:color w:val="2C3E50"/>
                <w:sz w:val="20"/>
                <w:szCs w:val="20"/>
              </w:rPr>
              <w:t xml:space="preserve">Integer</w:t>
            </w:r>
          </w:p>
        </w:tc>
        <w:tc>
          <w:tcPr>
            <w:tcW w:type="dxa" w:w="5160"/>
            <w:tcBorders>
              <w:top w:val="single" w:color="D5D8DC" w:sz="4"/>
              <w:left w:val="single" w:color="D5D8DC" w:sz="4"/>
              <w:bottom w:val="single" w:color="D5D8DC" w:sz="4"/>
              <w:right w:val="single" w:color="D5D8DC" w:sz="4"/>
            </w:tcBorders>
            <w:shd w:fill="EBF5FB" w:val="clear"/>
            <w:tcMar>
              <w:top w:type="dxa" w:w="50"/>
              <w:left w:type="dxa" w:w="120"/>
              <w:bottom w:type="dxa" w:w="50"/>
              <w:right w:type="dxa" w:w="120"/>
            </w:tcMar>
          </w:tcPr>
          <w:p>
            <w:pPr>
              <w:spacing w:before="0" w:after="0"/>
            </w:pPr>
            <w:r>
              <w:rPr>
                <w:rFonts w:ascii="Arial" w:cs="Arial" w:eastAsia="Arial" w:hAnsi="Arial"/>
                <w:color w:val="2C3E50"/>
                <w:sz w:val="20"/>
                <w:szCs w:val="20"/>
              </w:rPr>
              <w:t xml:space="preserve">Planned journey duration in days</w:t>
            </w:r>
          </w:p>
        </w:tc>
      </w:tr>
      <w:tr>
        <w:tc>
          <w:tcPr>
            <w:tcW w:type="dxa" w:w="3000"/>
            <w:tcBorders>
              <w:top w:val="single" w:color="D5D8DC" w:sz="4"/>
              <w:left w:val="single" w:color="D5D8DC" w:sz="4"/>
              <w:bottom w:val="single" w:color="D5D8DC" w:sz="4"/>
              <w:right w:val="single" w:color="D5D8DC" w:sz="4"/>
            </w:tcBorders>
            <w:shd w:fill="FDFEFE" w:val="clear"/>
            <w:tcMar>
              <w:top w:type="dxa" w:w="50"/>
              <w:left w:type="dxa" w:w="120"/>
              <w:bottom w:type="dxa" w:w="50"/>
              <w:right w:type="dxa" w:w="120"/>
            </w:tcMar>
          </w:tcPr>
          <w:p>
            <w:pPr>
              <w:spacing w:before="0" w:after="0"/>
            </w:pPr>
            <w:r>
              <w:rPr>
                <w:rFonts w:ascii="Arial" w:cs="Arial" w:eastAsia="Arial" w:hAnsi="Arial"/>
                <w:color w:val="2C3E50"/>
                <w:sz w:val="20"/>
                <w:szCs w:val="20"/>
              </w:rPr>
              <w:t xml:space="preserve">vessels_at_anchorage_count</w:t>
            </w:r>
          </w:p>
        </w:tc>
        <w:tc>
          <w:tcPr>
            <w:tcW w:type="dxa" w:w="1200"/>
            <w:tcBorders>
              <w:top w:val="single" w:color="D5D8DC" w:sz="4"/>
              <w:left w:val="single" w:color="D5D8DC" w:sz="4"/>
              <w:bottom w:val="single" w:color="D5D8DC" w:sz="4"/>
              <w:right w:val="single" w:color="D5D8DC" w:sz="4"/>
            </w:tcBorders>
            <w:shd w:fill="FDFEFE" w:val="clear"/>
            <w:tcMar>
              <w:top w:type="dxa" w:w="50"/>
              <w:left w:type="dxa" w:w="120"/>
              <w:bottom w:type="dxa" w:w="50"/>
              <w:right w:type="dxa" w:w="120"/>
            </w:tcMar>
          </w:tcPr>
          <w:p>
            <w:pPr>
              <w:spacing w:before="0" w:after="0"/>
            </w:pPr>
            <w:r>
              <w:rPr>
                <w:rFonts w:ascii="Arial" w:cs="Arial" w:eastAsia="Arial" w:hAnsi="Arial"/>
                <w:color w:val="2C3E50"/>
                <w:sz w:val="20"/>
                <w:szCs w:val="20"/>
              </w:rPr>
              <w:t xml:space="preserve">Integer</w:t>
            </w:r>
          </w:p>
        </w:tc>
        <w:tc>
          <w:tcPr>
            <w:tcW w:type="dxa" w:w="5160"/>
            <w:tcBorders>
              <w:top w:val="single" w:color="D5D8DC" w:sz="4"/>
              <w:left w:val="single" w:color="D5D8DC" w:sz="4"/>
              <w:bottom w:val="single" w:color="D5D8DC" w:sz="4"/>
              <w:right w:val="single" w:color="D5D8DC" w:sz="4"/>
            </w:tcBorders>
            <w:shd w:fill="FDFEFE" w:val="clear"/>
            <w:tcMar>
              <w:top w:type="dxa" w:w="50"/>
              <w:left w:type="dxa" w:w="120"/>
              <w:bottom w:type="dxa" w:w="50"/>
              <w:right w:type="dxa" w:w="120"/>
            </w:tcMar>
          </w:tcPr>
          <w:p>
            <w:pPr>
              <w:spacing w:before="0" w:after="0"/>
            </w:pPr>
            <w:r>
              <w:rPr>
                <w:rFonts w:ascii="Arial" w:cs="Arial" w:eastAsia="Arial" w:hAnsi="Arial"/>
                <w:color w:val="2C3E50"/>
                <w:sz w:val="20"/>
                <w:szCs w:val="20"/>
              </w:rPr>
              <w:t xml:space="preserve">Number of ships waiting at anchorage at the origin port</w:t>
            </w:r>
          </w:p>
        </w:tc>
      </w:tr>
      <w:tr>
        <w:tc>
          <w:tcPr>
            <w:tcW w:type="dxa" w:w="3000"/>
            <w:tcBorders>
              <w:top w:val="single" w:color="D5D8DC" w:sz="4"/>
              <w:left w:val="single" w:color="D5D8DC" w:sz="4"/>
              <w:bottom w:val="single" w:color="D5D8DC" w:sz="4"/>
              <w:right w:val="single" w:color="D5D8DC" w:sz="4"/>
            </w:tcBorders>
            <w:shd w:fill="EBF5FB" w:val="clear"/>
            <w:tcMar>
              <w:top w:type="dxa" w:w="50"/>
              <w:left w:type="dxa" w:w="120"/>
              <w:bottom w:type="dxa" w:w="50"/>
              <w:right w:type="dxa" w:w="120"/>
            </w:tcMar>
          </w:tcPr>
          <w:p>
            <w:pPr>
              <w:spacing w:before="0" w:after="0"/>
            </w:pPr>
            <w:r>
              <w:rPr>
                <w:rFonts w:ascii="Arial" w:cs="Arial" w:eastAsia="Arial" w:hAnsi="Arial"/>
                <w:color w:val="2C3E50"/>
                <w:sz w:val="20"/>
                <w:szCs w:val="20"/>
              </w:rPr>
              <w:t xml:space="preserve">berth_occupancy_pct</w:t>
            </w:r>
          </w:p>
        </w:tc>
        <w:tc>
          <w:tcPr>
            <w:tcW w:type="dxa" w:w="1200"/>
            <w:tcBorders>
              <w:top w:val="single" w:color="D5D8DC" w:sz="4"/>
              <w:left w:val="single" w:color="D5D8DC" w:sz="4"/>
              <w:bottom w:val="single" w:color="D5D8DC" w:sz="4"/>
              <w:right w:val="single" w:color="D5D8DC" w:sz="4"/>
            </w:tcBorders>
            <w:shd w:fill="EBF5FB" w:val="clear"/>
            <w:tcMar>
              <w:top w:type="dxa" w:w="50"/>
              <w:left w:type="dxa" w:w="120"/>
              <w:bottom w:type="dxa" w:w="50"/>
              <w:right w:type="dxa" w:w="120"/>
            </w:tcMar>
          </w:tcPr>
          <w:p>
            <w:pPr>
              <w:spacing w:before="0" w:after="0"/>
            </w:pPr>
            <w:r>
              <w:rPr>
                <w:rFonts w:ascii="Arial" w:cs="Arial" w:eastAsia="Arial" w:hAnsi="Arial"/>
                <w:color w:val="2C3E50"/>
                <w:sz w:val="20"/>
                <w:szCs w:val="20"/>
              </w:rPr>
              <w:t xml:space="preserve">Float</w:t>
            </w:r>
          </w:p>
        </w:tc>
        <w:tc>
          <w:tcPr>
            <w:tcW w:type="dxa" w:w="5160"/>
            <w:tcBorders>
              <w:top w:val="single" w:color="D5D8DC" w:sz="4"/>
              <w:left w:val="single" w:color="D5D8DC" w:sz="4"/>
              <w:bottom w:val="single" w:color="D5D8DC" w:sz="4"/>
              <w:right w:val="single" w:color="D5D8DC" w:sz="4"/>
            </w:tcBorders>
            <w:shd w:fill="EBF5FB" w:val="clear"/>
            <w:tcMar>
              <w:top w:type="dxa" w:w="50"/>
              <w:left w:type="dxa" w:w="120"/>
              <w:bottom w:type="dxa" w:w="50"/>
              <w:right w:type="dxa" w:w="120"/>
            </w:tcMar>
          </w:tcPr>
          <w:p>
            <w:pPr>
              <w:spacing w:before="0" w:after="0"/>
            </w:pPr>
            <w:r>
              <w:rPr>
                <w:rFonts w:ascii="Arial" w:cs="Arial" w:eastAsia="Arial" w:hAnsi="Arial"/>
                <w:color w:val="2C3E50"/>
                <w:sz w:val="20"/>
                <w:szCs w:val="20"/>
              </w:rPr>
              <w:t xml:space="preserve">Percentage of port berths currently occupied</w:t>
            </w:r>
          </w:p>
        </w:tc>
      </w:tr>
      <w:tr>
        <w:tc>
          <w:tcPr>
            <w:tcW w:type="dxa" w:w="3000"/>
            <w:tcBorders>
              <w:top w:val="single" w:color="D5D8DC" w:sz="4"/>
              <w:left w:val="single" w:color="D5D8DC" w:sz="4"/>
              <w:bottom w:val="single" w:color="D5D8DC" w:sz="4"/>
              <w:right w:val="single" w:color="D5D8DC" w:sz="4"/>
            </w:tcBorders>
            <w:shd w:fill="FDFEFE" w:val="clear"/>
            <w:tcMar>
              <w:top w:type="dxa" w:w="50"/>
              <w:left w:type="dxa" w:w="120"/>
              <w:bottom w:type="dxa" w:w="50"/>
              <w:right w:type="dxa" w:w="120"/>
            </w:tcMar>
          </w:tcPr>
          <w:p>
            <w:pPr>
              <w:spacing w:before="0" w:after="0"/>
            </w:pPr>
            <w:r>
              <w:rPr>
                <w:rFonts w:ascii="Arial" w:cs="Arial" w:eastAsia="Arial" w:hAnsi="Arial"/>
                <w:color w:val="2C3E50"/>
                <w:sz w:val="20"/>
                <w:szCs w:val="20"/>
              </w:rPr>
              <w:t xml:space="preserve">yard_utilization_pct</w:t>
            </w:r>
          </w:p>
        </w:tc>
        <w:tc>
          <w:tcPr>
            <w:tcW w:type="dxa" w:w="1200"/>
            <w:tcBorders>
              <w:top w:val="single" w:color="D5D8DC" w:sz="4"/>
              <w:left w:val="single" w:color="D5D8DC" w:sz="4"/>
              <w:bottom w:val="single" w:color="D5D8DC" w:sz="4"/>
              <w:right w:val="single" w:color="D5D8DC" w:sz="4"/>
            </w:tcBorders>
            <w:shd w:fill="FDFEFE" w:val="clear"/>
            <w:tcMar>
              <w:top w:type="dxa" w:w="50"/>
              <w:left w:type="dxa" w:w="120"/>
              <w:bottom w:type="dxa" w:w="50"/>
              <w:right w:type="dxa" w:w="120"/>
            </w:tcMar>
          </w:tcPr>
          <w:p>
            <w:pPr>
              <w:spacing w:before="0" w:after="0"/>
            </w:pPr>
            <w:r>
              <w:rPr>
                <w:rFonts w:ascii="Arial" w:cs="Arial" w:eastAsia="Arial" w:hAnsi="Arial"/>
                <w:color w:val="2C3E50"/>
                <w:sz w:val="20"/>
                <w:szCs w:val="20"/>
              </w:rPr>
              <w:t xml:space="preserve">Float</w:t>
            </w:r>
          </w:p>
        </w:tc>
        <w:tc>
          <w:tcPr>
            <w:tcW w:type="dxa" w:w="5160"/>
            <w:tcBorders>
              <w:top w:val="single" w:color="D5D8DC" w:sz="4"/>
              <w:left w:val="single" w:color="D5D8DC" w:sz="4"/>
              <w:bottom w:val="single" w:color="D5D8DC" w:sz="4"/>
              <w:right w:val="single" w:color="D5D8DC" w:sz="4"/>
            </w:tcBorders>
            <w:shd w:fill="FDFEFE" w:val="clear"/>
            <w:tcMar>
              <w:top w:type="dxa" w:w="50"/>
              <w:left w:type="dxa" w:w="120"/>
              <w:bottom w:type="dxa" w:w="50"/>
              <w:right w:type="dxa" w:w="120"/>
            </w:tcMar>
          </w:tcPr>
          <w:p>
            <w:pPr>
              <w:spacing w:before="0" w:after="0"/>
            </w:pPr>
            <w:r>
              <w:rPr>
                <w:rFonts w:ascii="Arial" w:cs="Arial" w:eastAsia="Arial" w:hAnsi="Arial"/>
                <w:color w:val="2C3E50"/>
                <w:sz w:val="20"/>
                <w:szCs w:val="20"/>
              </w:rPr>
              <w:t xml:space="preserve">Container yard capacity currently in use (%)</w:t>
            </w:r>
          </w:p>
        </w:tc>
      </w:tr>
      <w:tr>
        <w:tc>
          <w:tcPr>
            <w:tcW w:type="dxa" w:w="3000"/>
            <w:tcBorders>
              <w:top w:val="single" w:color="D5D8DC" w:sz="4"/>
              <w:left w:val="single" w:color="D5D8DC" w:sz="4"/>
              <w:bottom w:val="single" w:color="D5D8DC" w:sz="4"/>
              <w:right w:val="single" w:color="D5D8DC" w:sz="4"/>
            </w:tcBorders>
            <w:shd w:fill="EBF5FB" w:val="clear"/>
            <w:tcMar>
              <w:top w:type="dxa" w:w="50"/>
              <w:left w:type="dxa" w:w="120"/>
              <w:bottom w:type="dxa" w:w="50"/>
              <w:right w:type="dxa" w:w="120"/>
            </w:tcMar>
          </w:tcPr>
          <w:p>
            <w:pPr>
              <w:spacing w:before="0" w:after="0"/>
            </w:pPr>
            <w:r>
              <w:rPr>
                <w:rFonts w:ascii="Arial" w:cs="Arial" w:eastAsia="Arial" w:hAnsi="Arial"/>
                <w:color w:val="2C3E50"/>
                <w:sz w:val="20"/>
                <w:szCs w:val="20"/>
              </w:rPr>
              <w:t xml:space="preserve">median_waiting_time_hours</w:t>
            </w:r>
          </w:p>
        </w:tc>
        <w:tc>
          <w:tcPr>
            <w:tcW w:type="dxa" w:w="1200"/>
            <w:tcBorders>
              <w:top w:val="single" w:color="D5D8DC" w:sz="4"/>
              <w:left w:val="single" w:color="D5D8DC" w:sz="4"/>
              <w:bottom w:val="single" w:color="D5D8DC" w:sz="4"/>
              <w:right w:val="single" w:color="D5D8DC" w:sz="4"/>
            </w:tcBorders>
            <w:shd w:fill="EBF5FB" w:val="clear"/>
            <w:tcMar>
              <w:top w:type="dxa" w:w="50"/>
              <w:left w:type="dxa" w:w="120"/>
              <w:bottom w:type="dxa" w:w="50"/>
              <w:right w:type="dxa" w:w="120"/>
            </w:tcMar>
          </w:tcPr>
          <w:p>
            <w:pPr>
              <w:spacing w:before="0" w:after="0"/>
            </w:pPr>
            <w:r>
              <w:rPr>
                <w:rFonts w:ascii="Arial" w:cs="Arial" w:eastAsia="Arial" w:hAnsi="Arial"/>
                <w:color w:val="2C3E50"/>
                <w:sz w:val="20"/>
                <w:szCs w:val="20"/>
              </w:rPr>
              <w:t xml:space="preserve">Float</w:t>
            </w:r>
          </w:p>
        </w:tc>
        <w:tc>
          <w:tcPr>
            <w:tcW w:type="dxa" w:w="5160"/>
            <w:tcBorders>
              <w:top w:val="single" w:color="D5D8DC" w:sz="4"/>
              <w:left w:val="single" w:color="D5D8DC" w:sz="4"/>
              <w:bottom w:val="single" w:color="D5D8DC" w:sz="4"/>
              <w:right w:val="single" w:color="D5D8DC" w:sz="4"/>
            </w:tcBorders>
            <w:shd w:fill="EBF5FB" w:val="clear"/>
            <w:tcMar>
              <w:top w:type="dxa" w:w="50"/>
              <w:left w:type="dxa" w:w="120"/>
              <w:bottom w:type="dxa" w:w="50"/>
              <w:right w:type="dxa" w:w="120"/>
            </w:tcMar>
          </w:tcPr>
          <w:p>
            <w:pPr>
              <w:spacing w:before="0" w:after="0"/>
            </w:pPr>
            <w:r>
              <w:rPr>
                <w:rFonts w:ascii="Arial" w:cs="Arial" w:eastAsia="Arial" w:hAnsi="Arial"/>
                <w:color w:val="2C3E50"/>
                <w:sz w:val="20"/>
                <w:szCs w:val="20"/>
              </w:rPr>
              <w:t xml:space="preserve">Median vessel waiting time at the port (hours)</w:t>
            </w:r>
          </w:p>
        </w:tc>
      </w:tr>
      <w:tr>
        <w:tc>
          <w:tcPr>
            <w:tcW w:type="dxa" w:w="3000"/>
            <w:tcBorders>
              <w:top w:val="single" w:color="D5D8DC" w:sz="4"/>
              <w:left w:val="single" w:color="D5D8DC" w:sz="4"/>
              <w:bottom w:val="single" w:color="D5D8DC" w:sz="4"/>
              <w:right w:val="single" w:color="D5D8DC" w:sz="4"/>
            </w:tcBorders>
            <w:shd w:fill="FDFEFE" w:val="clear"/>
            <w:tcMar>
              <w:top w:type="dxa" w:w="50"/>
              <w:left w:type="dxa" w:w="120"/>
              <w:bottom w:type="dxa" w:w="50"/>
              <w:right w:type="dxa" w:w="120"/>
            </w:tcMar>
          </w:tcPr>
          <w:p>
            <w:pPr>
              <w:spacing w:before="0" w:after="0"/>
            </w:pPr>
            <w:r>
              <w:rPr>
                <w:rFonts w:ascii="Arial" w:cs="Arial" w:eastAsia="Arial" w:hAnsi="Arial"/>
                <w:color w:val="2C3E50"/>
                <w:sz w:val="20"/>
                <w:szCs w:val="20"/>
              </w:rPr>
              <w:t xml:space="preserve">air_temperature_c</w:t>
            </w:r>
          </w:p>
        </w:tc>
        <w:tc>
          <w:tcPr>
            <w:tcW w:type="dxa" w:w="1200"/>
            <w:tcBorders>
              <w:top w:val="single" w:color="D5D8DC" w:sz="4"/>
              <w:left w:val="single" w:color="D5D8DC" w:sz="4"/>
              <w:bottom w:val="single" w:color="D5D8DC" w:sz="4"/>
              <w:right w:val="single" w:color="D5D8DC" w:sz="4"/>
            </w:tcBorders>
            <w:shd w:fill="FDFEFE" w:val="clear"/>
            <w:tcMar>
              <w:top w:type="dxa" w:w="50"/>
              <w:left w:type="dxa" w:w="120"/>
              <w:bottom w:type="dxa" w:w="50"/>
              <w:right w:type="dxa" w:w="120"/>
            </w:tcMar>
          </w:tcPr>
          <w:p>
            <w:pPr>
              <w:spacing w:before="0" w:after="0"/>
            </w:pPr>
            <w:r>
              <w:rPr>
                <w:rFonts w:ascii="Arial" w:cs="Arial" w:eastAsia="Arial" w:hAnsi="Arial"/>
                <w:color w:val="2C3E50"/>
                <w:sz w:val="20"/>
                <w:szCs w:val="20"/>
              </w:rPr>
              <w:t xml:space="preserve">Float</w:t>
            </w:r>
          </w:p>
        </w:tc>
        <w:tc>
          <w:tcPr>
            <w:tcW w:type="dxa" w:w="5160"/>
            <w:tcBorders>
              <w:top w:val="single" w:color="D5D8DC" w:sz="4"/>
              <w:left w:val="single" w:color="D5D8DC" w:sz="4"/>
              <w:bottom w:val="single" w:color="D5D8DC" w:sz="4"/>
              <w:right w:val="single" w:color="D5D8DC" w:sz="4"/>
            </w:tcBorders>
            <w:shd w:fill="FDFEFE" w:val="clear"/>
            <w:tcMar>
              <w:top w:type="dxa" w:w="50"/>
              <w:left w:type="dxa" w:w="120"/>
              <w:bottom w:type="dxa" w:w="50"/>
              <w:right w:type="dxa" w:w="120"/>
            </w:tcMar>
          </w:tcPr>
          <w:p>
            <w:pPr>
              <w:spacing w:before="0" w:after="0"/>
            </w:pPr>
            <w:r>
              <w:rPr>
                <w:rFonts w:ascii="Arial" w:cs="Arial" w:eastAsia="Arial" w:hAnsi="Arial"/>
                <w:color w:val="2C3E50"/>
                <w:sz w:val="20"/>
                <w:szCs w:val="20"/>
              </w:rPr>
              <w:t xml:space="preserve">Ambient air temperature at origin port (Celsius, range: -7.7 to 37.5)</w:t>
            </w:r>
          </w:p>
        </w:tc>
      </w:tr>
      <w:tr>
        <w:tc>
          <w:tcPr>
            <w:tcW w:type="dxa" w:w="3000"/>
            <w:tcBorders>
              <w:top w:val="single" w:color="D5D8DC" w:sz="4"/>
              <w:left w:val="single" w:color="D5D8DC" w:sz="4"/>
              <w:bottom w:val="single" w:color="D5D8DC" w:sz="4"/>
              <w:right w:val="single" w:color="D5D8DC" w:sz="4"/>
            </w:tcBorders>
            <w:shd w:fill="EBF5FB" w:val="clear"/>
            <w:tcMar>
              <w:top w:type="dxa" w:w="50"/>
              <w:left w:type="dxa" w:w="120"/>
              <w:bottom w:type="dxa" w:w="50"/>
              <w:right w:type="dxa" w:w="120"/>
            </w:tcMar>
          </w:tcPr>
          <w:p>
            <w:pPr>
              <w:spacing w:before="0" w:after="0"/>
            </w:pPr>
            <w:r>
              <w:rPr>
                <w:rFonts w:ascii="Arial" w:cs="Arial" w:eastAsia="Arial" w:hAnsi="Arial"/>
                <w:color w:val="2C3E50"/>
                <w:sz w:val="20"/>
                <w:szCs w:val="20"/>
              </w:rPr>
              <w:t xml:space="preserve">wind_speed_knots</w:t>
            </w:r>
          </w:p>
        </w:tc>
        <w:tc>
          <w:tcPr>
            <w:tcW w:type="dxa" w:w="1200"/>
            <w:tcBorders>
              <w:top w:val="single" w:color="D5D8DC" w:sz="4"/>
              <w:left w:val="single" w:color="D5D8DC" w:sz="4"/>
              <w:bottom w:val="single" w:color="D5D8DC" w:sz="4"/>
              <w:right w:val="single" w:color="D5D8DC" w:sz="4"/>
            </w:tcBorders>
            <w:shd w:fill="EBF5FB" w:val="clear"/>
            <w:tcMar>
              <w:top w:type="dxa" w:w="50"/>
              <w:left w:type="dxa" w:w="120"/>
              <w:bottom w:type="dxa" w:w="50"/>
              <w:right w:type="dxa" w:w="120"/>
            </w:tcMar>
          </w:tcPr>
          <w:p>
            <w:pPr>
              <w:spacing w:before="0" w:after="0"/>
            </w:pPr>
            <w:r>
              <w:rPr>
                <w:rFonts w:ascii="Arial" w:cs="Arial" w:eastAsia="Arial" w:hAnsi="Arial"/>
                <w:color w:val="2C3E50"/>
                <w:sz w:val="20"/>
                <w:szCs w:val="20"/>
              </w:rPr>
              <w:t xml:space="preserve">Float</w:t>
            </w:r>
          </w:p>
        </w:tc>
        <w:tc>
          <w:tcPr>
            <w:tcW w:type="dxa" w:w="5160"/>
            <w:tcBorders>
              <w:top w:val="single" w:color="D5D8DC" w:sz="4"/>
              <w:left w:val="single" w:color="D5D8DC" w:sz="4"/>
              <w:bottom w:val="single" w:color="D5D8DC" w:sz="4"/>
              <w:right w:val="single" w:color="D5D8DC" w:sz="4"/>
            </w:tcBorders>
            <w:shd w:fill="EBF5FB" w:val="clear"/>
            <w:tcMar>
              <w:top w:type="dxa" w:w="50"/>
              <w:left w:type="dxa" w:w="120"/>
              <w:bottom w:type="dxa" w:w="50"/>
              <w:right w:type="dxa" w:w="120"/>
            </w:tcMar>
          </w:tcPr>
          <w:p>
            <w:pPr>
              <w:spacing w:before="0" w:after="0"/>
            </w:pPr>
            <w:r>
              <w:rPr>
                <w:rFonts w:ascii="Arial" w:cs="Arial" w:eastAsia="Arial" w:hAnsi="Arial"/>
                <w:color w:val="2C3E50"/>
                <w:sz w:val="20"/>
                <w:szCs w:val="20"/>
              </w:rPr>
              <w:t xml:space="preserve">Wind speed at origin port in knots</w:t>
            </w:r>
          </w:p>
        </w:tc>
      </w:tr>
      <w:tr>
        <w:tc>
          <w:tcPr>
            <w:tcW w:type="dxa" w:w="3000"/>
            <w:tcBorders>
              <w:top w:val="single" w:color="D5D8DC" w:sz="4"/>
              <w:left w:val="single" w:color="D5D8DC" w:sz="4"/>
              <w:bottom w:val="single" w:color="D5D8DC" w:sz="4"/>
              <w:right w:val="single" w:color="D5D8DC" w:sz="4"/>
            </w:tcBorders>
            <w:shd w:fill="FDFEFE" w:val="clear"/>
            <w:tcMar>
              <w:top w:type="dxa" w:w="50"/>
              <w:left w:type="dxa" w:w="120"/>
              <w:bottom w:type="dxa" w:w="50"/>
              <w:right w:type="dxa" w:w="120"/>
            </w:tcMar>
          </w:tcPr>
          <w:p>
            <w:pPr>
              <w:spacing w:before="0" w:after="0"/>
            </w:pPr>
            <w:r>
              <w:rPr>
                <w:rFonts w:ascii="Arial" w:cs="Arial" w:eastAsia="Arial" w:hAnsi="Arial"/>
                <w:color w:val="2C3E50"/>
                <w:sz w:val="20"/>
                <w:szCs w:val="20"/>
              </w:rPr>
              <w:t xml:space="preserve">precipitation_mm</w:t>
            </w:r>
          </w:p>
        </w:tc>
        <w:tc>
          <w:tcPr>
            <w:tcW w:type="dxa" w:w="1200"/>
            <w:tcBorders>
              <w:top w:val="single" w:color="D5D8DC" w:sz="4"/>
              <w:left w:val="single" w:color="D5D8DC" w:sz="4"/>
              <w:bottom w:val="single" w:color="D5D8DC" w:sz="4"/>
              <w:right w:val="single" w:color="D5D8DC" w:sz="4"/>
            </w:tcBorders>
            <w:shd w:fill="FDFEFE" w:val="clear"/>
            <w:tcMar>
              <w:top w:type="dxa" w:w="50"/>
              <w:left w:type="dxa" w:w="120"/>
              <w:bottom w:type="dxa" w:w="50"/>
              <w:right w:type="dxa" w:w="120"/>
            </w:tcMar>
          </w:tcPr>
          <w:p>
            <w:pPr>
              <w:spacing w:before="0" w:after="0"/>
            </w:pPr>
            <w:r>
              <w:rPr>
                <w:rFonts w:ascii="Arial" w:cs="Arial" w:eastAsia="Arial" w:hAnsi="Arial"/>
                <w:color w:val="2C3E50"/>
                <w:sz w:val="20"/>
                <w:szCs w:val="20"/>
              </w:rPr>
              <w:t xml:space="preserve">Float</w:t>
            </w:r>
          </w:p>
        </w:tc>
        <w:tc>
          <w:tcPr>
            <w:tcW w:type="dxa" w:w="5160"/>
            <w:tcBorders>
              <w:top w:val="single" w:color="D5D8DC" w:sz="4"/>
              <w:left w:val="single" w:color="D5D8DC" w:sz="4"/>
              <w:bottom w:val="single" w:color="D5D8DC" w:sz="4"/>
              <w:right w:val="single" w:color="D5D8DC" w:sz="4"/>
            </w:tcBorders>
            <w:shd w:fill="FDFEFE" w:val="clear"/>
            <w:tcMar>
              <w:top w:type="dxa" w:w="50"/>
              <w:left w:type="dxa" w:w="120"/>
              <w:bottom w:type="dxa" w:w="50"/>
              <w:right w:type="dxa" w:w="120"/>
            </w:tcMar>
          </w:tcPr>
          <w:p>
            <w:pPr>
              <w:spacing w:before="0" w:after="0"/>
            </w:pPr>
            <w:r>
              <w:rPr>
                <w:rFonts w:ascii="Arial" w:cs="Arial" w:eastAsia="Arial" w:hAnsi="Arial"/>
                <w:color w:val="2C3E50"/>
                <w:sz w:val="20"/>
                <w:szCs w:val="20"/>
              </w:rPr>
              <w:t xml:space="preserve">Precipitation recorded at origin port (mm)</w:t>
            </w:r>
          </w:p>
        </w:tc>
      </w:tr>
      <w:tr>
        <w:tc>
          <w:tcPr>
            <w:tcW w:type="dxa" w:w="3000"/>
            <w:tcBorders>
              <w:top w:val="single" w:color="D5D8DC" w:sz="4"/>
              <w:left w:val="single" w:color="D5D8DC" w:sz="4"/>
              <w:bottom w:val="single" w:color="D5D8DC" w:sz="4"/>
              <w:right w:val="single" w:color="D5D8DC" w:sz="4"/>
            </w:tcBorders>
            <w:shd w:fill="EBF5FB" w:val="clear"/>
            <w:tcMar>
              <w:top w:type="dxa" w:w="50"/>
              <w:left w:type="dxa" w:w="120"/>
              <w:bottom w:type="dxa" w:w="50"/>
              <w:right w:type="dxa" w:w="120"/>
            </w:tcMar>
          </w:tcPr>
          <w:p>
            <w:pPr>
              <w:spacing w:before="0" w:after="0"/>
            </w:pPr>
            <w:r>
              <w:rPr>
                <w:rFonts w:ascii="Arial" w:cs="Arial" w:eastAsia="Arial" w:hAnsi="Arial"/>
                <w:color w:val="2C3E50"/>
                <w:sz w:val="20"/>
                <w:szCs w:val="20"/>
              </w:rPr>
              <w:t xml:space="preserve">wave_height_meters</w:t>
            </w:r>
          </w:p>
        </w:tc>
        <w:tc>
          <w:tcPr>
            <w:tcW w:type="dxa" w:w="1200"/>
            <w:tcBorders>
              <w:top w:val="single" w:color="D5D8DC" w:sz="4"/>
              <w:left w:val="single" w:color="D5D8DC" w:sz="4"/>
              <w:bottom w:val="single" w:color="D5D8DC" w:sz="4"/>
              <w:right w:val="single" w:color="D5D8DC" w:sz="4"/>
            </w:tcBorders>
            <w:shd w:fill="EBF5FB" w:val="clear"/>
            <w:tcMar>
              <w:top w:type="dxa" w:w="50"/>
              <w:left w:type="dxa" w:w="120"/>
              <w:bottom w:type="dxa" w:w="50"/>
              <w:right w:type="dxa" w:w="120"/>
            </w:tcMar>
          </w:tcPr>
          <w:p>
            <w:pPr>
              <w:spacing w:before="0" w:after="0"/>
            </w:pPr>
            <w:r>
              <w:rPr>
                <w:rFonts w:ascii="Arial" w:cs="Arial" w:eastAsia="Arial" w:hAnsi="Arial"/>
                <w:color w:val="2C3E50"/>
                <w:sz w:val="20"/>
                <w:szCs w:val="20"/>
              </w:rPr>
              <w:t xml:space="preserve">Float</w:t>
            </w:r>
          </w:p>
        </w:tc>
        <w:tc>
          <w:tcPr>
            <w:tcW w:type="dxa" w:w="5160"/>
            <w:tcBorders>
              <w:top w:val="single" w:color="D5D8DC" w:sz="4"/>
              <w:left w:val="single" w:color="D5D8DC" w:sz="4"/>
              <w:bottom w:val="single" w:color="D5D8DC" w:sz="4"/>
              <w:right w:val="single" w:color="D5D8DC" w:sz="4"/>
            </w:tcBorders>
            <w:shd w:fill="EBF5FB" w:val="clear"/>
            <w:tcMar>
              <w:top w:type="dxa" w:w="50"/>
              <w:left w:type="dxa" w:w="120"/>
              <w:bottom w:type="dxa" w:w="50"/>
              <w:right w:type="dxa" w:w="120"/>
            </w:tcMar>
          </w:tcPr>
          <w:p>
            <w:pPr>
              <w:spacing w:before="0" w:after="0"/>
            </w:pPr>
            <w:r>
              <w:rPr>
                <w:rFonts w:ascii="Arial" w:cs="Arial" w:eastAsia="Arial" w:hAnsi="Arial"/>
                <w:color w:val="2C3E50"/>
                <w:sz w:val="20"/>
                <w:szCs w:val="20"/>
              </w:rPr>
              <w:t xml:space="preserve">Sea wave height in meters</w:t>
            </w:r>
          </w:p>
        </w:tc>
      </w:tr>
      <w:tr>
        <w:tc>
          <w:tcPr>
            <w:tcW w:type="dxa" w:w="3000"/>
            <w:tcBorders>
              <w:top w:val="single" w:color="D5D8DC" w:sz="4"/>
              <w:left w:val="single" w:color="D5D8DC" w:sz="4"/>
              <w:bottom w:val="single" w:color="D5D8DC" w:sz="4"/>
              <w:right w:val="single" w:color="D5D8DC" w:sz="4"/>
            </w:tcBorders>
            <w:shd w:fill="FDFEFE" w:val="clear"/>
            <w:tcMar>
              <w:top w:type="dxa" w:w="50"/>
              <w:left w:type="dxa" w:w="120"/>
              <w:bottom w:type="dxa" w:w="50"/>
              <w:right w:type="dxa" w:w="120"/>
            </w:tcMar>
          </w:tcPr>
          <w:p>
            <w:pPr>
              <w:spacing w:before="0" w:after="0"/>
            </w:pPr>
            <w:r>
              <w:rPr>
                <w:rFonts w:ascii="Arial" w:cs="Arial" w:eastAsia="Arial" w:hAnsi="Arial"/>
                <w:color w:val="2C3E50"/>
                <w:sz w:val="20"/>
                <w:szCs w:val="20"/>
              </w:rPr>
              <w:t xml:space="preserve">fog_density_index / visibility_km</w:t>
            </w:r>
          </w:p>
        </w:tc>
        <w:tc>
          <w:tcPr>
            <w:tcW w:type="dxa" w:w="1200"/>
            <w:tcBorders>
              <w:top w:val="single" w:color="D5D8DC" w:sz="4"/>
              <w:left w:val="single" w:color="D5D8DC" w:sz="4"/>
              <w:bottom w:val="single" w:color="D5D8DC" w:sz="4"/>
              <w:right w:val="single" w:color="D5D8DC" w:sz="4"/>
            </w:tcBorders>
            <w:shd w:fill="FDFEFE" w:val="clear"/>
            <w:tcMar>
              <w:top w:type="dxa" w:w="50"/>
              <w:left w:type="dxa" w:w="120"/>
              <w:bottom w:type="dxa" w:w="50"/>
              <w:right w:type="dxa" w:w="120"/>
            </w:tcMar>
          </w:tcPr>
          <w:p>
            <w:pPr>
              <w:spacing w:before="0" w:after="0"/>
            </w:pPr>
            <w:r>
              <w:rPr>
                <w:rFonts w:ascii="Arial" w:cs="Arial" w:eastAsia="Arial" w:hAnsi="Arial"/>
                <w:color w:val="2C3E50"/>
                <w:sz w:val="20"/>
                <w:szCs w:val="20"/>
              </w:rPr>
              <w:t xml:space="preserve">Float</w:t>
            </w:r>
          </w:p>
        </w:tc>
        <w:tc>
          <w:tcPr>
            <w:tcW w:type="dxa" w:w="5160"/>
            <w:tcBorders>
              <w:top w:val="single" w:color="D5D8DC" w:sz="4"/>
              <w:left w:val="single" w:color="D5D8DC" w:sz="4"/>
              <w:bottom w:val="single" w:color="D5D8DC" w:sz="4"/>
              <w:right w:val="single" w:color="D5D8DC" w:sz="4"/>
            </w:tcBorders>
            <w:shd w:fill="FDFEFE" w:val="clear"/>
            <w:tcMar>
              <w:top w:type="dxa" w:w="50"/>
              <w:left w:type="dxa" w:w="120"/>
              <w:bottom w:type="dxa" w:w="50"/>
              <w:right w:type="dxa" w:w="120"/>
            </w:tcMar>
          </w:tcPr>
          <w:p>
            <w:pPr>
              <w:spacing w:before="0" w:after="0"/>
            </w:pPr>
            <w:r>
              <w:rPr>
                <w:rFonts w:ascii="Arial" w:cs="Arial" w:eastAsia="Arial" w:hAnsi="Arial"/>
                <w:color w:val="2C3E50"/>
                <w:sz w:val="20"/>
                <w:szCs w:val="20"/>
              </w:rPr>
              <w:t xml:space="preserve">Atmospheric visibility conditions: fog density index and visibility range (km)</w:t>
            </w:r>
          </w:p>
        </w:tc>
      </w:tr>
      <w:tr>
        <w:tc>
          <w:tcPr>
            <w:tcW w:type="dxa" w:w="3000"/>
            <w:tcBorders>
              <w:top w:val="single" w:color="D5D8DC" w:sz="4"/>
              <w:left w:val="single" w:color="D5D8DC" w:sz="4"/>
              <w:bottom w:val="single" w:color="D5D8DC" w:sz="4"/>
              <w:right w:val="single" w:color="D5D8DC" w:sz="4"/>
            </w:tcBorders>
            <w:shd w:fill="EBF5FB" w:val="clear"/>
            <w:tcMar>
              <w:top w:type="dxa" w:w="50"/>
              <w:left w:type="dxa" w:w="120"/>
              <w:bottom w:type="dxa" w:w="50"/>
              <w:right w:type="dxa" w:w="120"/>
            </w:tcMar>
          </w:tcPr>
          <w:p>
            <w:pPr>
              <w:spacing w:before="0" w:after="0"/>
            </w:pPr>
            <w:r>
              <w:rPr>
                <w:rFonts w:ascii="Arial" w:cs="Arial" w:eastAsia="Arial" w:hAnsi="Arial"/>
                <w:color w:val="2C3E50"/>
                <w:sz w:val="20"/>
                <w:szCs w:val="20"/>
              </w:rPr>
              <w:t xml:space="preserve">strike_alert_level</w:t>
            </w:r>
          </w:p>
        </w:tc>
        <w:tc>
          <w:tcPr>
            <w:tcW w:type="dxa" w:w="1200"/>
            <w:tcBorders>
              <w:top w:val="single" w:color="D5D8DC" w:sz="4"/>
              <w:left w:val="single" w:color="D5D8DC" w:sz="4"/>
              <w:bottom w:val="single" w:color="D5D8DC" w:sz="4"/>
              <w:right w:val="single" w:color="D5D8DC" w:sz="4"/>
            </w:tcBorders>
            <w:shd w:fill="EBF5FB" w:val="clear"/>
            <w:tcMar>
              <w:top w:type="dxa" w:w="50"/>
              <w:left w:type="dxa" w:w="120"/>
              <w:bottom w:type="dxa" w:w="50"/>
              <w:right w:type="dxa" w:w="120"/>
            </w:tcMar>
          </w:tcPr>
          <w:p>
            <w:pPr>
              <w:spacing w:before="0" w:after="0"/>
            </w:pPr>
            <w:r>
              <w:rPr>
                <w:rFonts w:ascii="Arial" w:cs="Arial" w:eastAsia="Arial" w:hAnsi="Arial"/>
                <w:color w:val="2C3E50"/>
                <w:sz w:val="20"/>
                <w:szCs w:val="20"/>
              </w:rPr>
              <w:t xml:space="preserve">Ordinal</w:t>
            </w:r>
          </w:p>
        </w:tc>
        <w:tc>
          <w:tcPr>
            <w:tcW w:type="dxa" w:w="5160"/>
            <w:tcBorders>
              <w:top w:val="single" w:color="D5D8DC" w:sz="4"/>
              <w:left w:val="single" w:color="D5D8DC" w:sz="4"/>
              <w:bottom w:val="single" w:color="D5D8DC" w:sz="4"/>
              <w:right w:val="single" w:color="D5D8DC" w:sz="4"/>
            </w:tcBorders>
            <w:shd w:fill="EBF5FB" w:val="clear"/>
            <w:tcMar>
              <w:top w:type="dxa" w:w="50"/>
              <w:left w:type="dxa" w:w="120"/>
              <w:bottom w:type="dxa" w:w="50"/>
              <w:right w:type="dxa" w:w="120"/>
            </w:tcMar>
          </w:tcPr>
          <w:p>
            <w:pPr>
              <w:spacing w:before="0" w:after="0"/>
            </w:pPr>
            <w:r>
              <w:rPr>
                <w:rFonts w:ascii="Arial" w:cs="Arial" w:eastAsia="Arial" w:hAnsi="Arial"/>
                <w:color w:val="2C3E50"/>
                <w:sz w:val="20"/>
                <w:szCs w:val="20"/>
              </w:rPr>
              <w:t xml:space="preserve">Labor strike risk level: 0 (none) to 3 (active strike)</w:t>
            </w:r>
          </w:p>
        </w:tc>
      </w:tr>
      <w:tr>
        <w:tc>
          <w:tcPr>
            <w:tcW w:type="dxa" w:w="3000"/>
            <w:tcBorders>
              <w:top w:val="single" w:color="D5D8DC" w:sz="4"/>
              <w:left w:val="single" w:color="D5D8DC" w:sz="4"/>
              <w:bottom w:val="single" w:color="D5D8DC" w:sz="4"/>
              <w:right w:val="single" w:color="D5D8DC" w:sz="4"/>
            </w:tcBorders>
            <w:shd w:fill="FDFEFE" w:val="clear"/>
            <w:tcMar>
              <w:top w:type="dxa" w:w="50"/>
              <w:left w:type="dxa" w:w="120"/>
              <w:bottom w:type="dxa" w:w="50"/>
              <w:right w:type="dxa" w:w="120"/>
            </w:tcMar>
          </w:tcPr>
          <w:p>
            <w:pPr>
              <w:spacing w:before="0" w:after="0"/>
            </w:pPr>
            <w:r>
              <w:rPr>
                <w:rFonts w:ascii="Arial" w:cs="Arial" w:eastAsia="Arial" w:hAnsi="Arial"/>
                <w:color w:val="2C3E50"/>
                <w:sz w:val="20"/>
                <w:szCs w:val="20"/>
              </w:rPr>
              <w:t xml:space="preserve">labor_strike_indicator / port_closure_flag</w:t>
            </w:r>
          </w:p>
        </w:tc>
        <w:tc>
          <w:tcPr>
            <w:tcW w:type="dxa" w:w="1200"/>
            <w:tcBorders>
              <w:top w:val="single" w:color="D5D8DC" w:sz="4"/>
              <w:left w:val="single" w:color="D5D8DC" w:sz="4"/>
              <w:bottom w:val="single" w:color="D5D8DC" w:sz="4"/>
              <w:right w:val="single" w:color="D5D8DC" w:sz="4"/>
            </w:tcBorders>
            <w:shd w:fill="FDFEFE" w:val="clear"/>
            <w:tcMar>
              <w:top w:type="dxa" w:w="50"/>
              <w:left w:type="dxa" w:w="120"/>
              <w:bottom w:type="dxa" w:w="50"/>
              <w:right w:type="dxa" w:w="120"/>
            </w:tcMar>
          </w:tcPr>
          <w:p>
            <w:pPr>
              <w:spacing w:before="0" w:after="0"/>
            </w:pPr>
            <w:r>
              <w:rPr>
                <w:rFonts w:ascii="Arial" w:cs="Arial" w:eastAsia="Arial" w:hAnsi="Arial"/>
                <w:color w:val="2C3E50"/>
                <w:sz w:val="20"/>
                <w:szCs w:val="20"/>
              </w:rPr>
              <w:t xml:space="preserve">Binary</w:t>
            </w:r>
          </w:p>
        </w:tc>
        <w:tc>
          <w:tcPr>
            <w:tcW w:type="dxa" w:w="5160"/>
            <w:tcBorders>
              <w:top w:val="single" w:color="D5D8DC" w:sz="4"/>
              <w:left w:val="single" w:color="D5D8DC" w:sz="4"/>
              <w:bottom w:val="single" w:color="D5D8DC" w:sz="4"/>
              <w:right w:val="single" w:color="D5D8DC" w:sz="4"/>
            </w:tcBorders>
            <w:shd w:fill="FDFEFE" w:val="clear"/>
            <w:tcMar>
              <w:top w:type="dxa" w:w="50"/>
              <w:left w:type="dxa" w:w="120"/>
              <w:bottom w:type="dxa" w:w="50"/>
              <w:right w:type="dxa" w:w="120"/>
            </w:tcMar>
          </w:tcPr>
          <w:p>
            <w:pPr>
              <w:spacing w:before="0" w:after="0"/>
            </w:pPr>
            <w:r>
              <w:rPr>
                <w:rFonts w:ascii="Arial" w:cs="Arial" w:eastAsia="Arial" w:hAnsi="Arial"/>
                <w:color w:val="2C3E50"/>
                <w:sz w:val="20"/>
                <w:szCs w:val="20"/>
              </w:rPr>
              <w:t xml:space="preserve">Disruption event flags: active labor strike and port closure (1 = active)</w:t>
            </w:r>
          </w:p>
        </w:tc>
      </w:tr>
      <w:tr>
        <w:tc>
          <w:tcPr>
            <w:tcW w:type="dxa" w:w="3000"/>
            <w:tcBorders>
              <w:top w:val="single" w:color="D5D8DC" w:sz="4"/>
              <w:left w:val="single" w:color="D5D8DC" w:sz="4"/>
              <w:bottom w:val="single" w:color="D5D8DC" w:sz="4"/>
              <w:right w:val="single" w:color="D5D8DC" w:sz="4"/>
            </w:tcBorders>
            <w:shd w:fill="EBF5FB" w:val="clear"/>
            <w:tcMar>
              <w:top w:type="dxa" w:w="50"/>
              <w:left w:type="dxa" w:w="120"/>
              <w:bottom w:type="dxa" w:w="50"/>
              <w:right w:type="dxa" w:w="120"/>
            </w:tcMar>
          </w:tcPr>
          <w:p>
            <w:pPr>
              <w:spacing w:before="0" w:after="0"/>
            </w:pPr>
            <w:r>
              <w:rPr>
                <w:rFonts w:ascii="Arial" w:cs="Arial" w:eastAsia="Arial" w:hAnsi="Arial"/>
                <w:color w:val="2C3E50"/>
                <w:sz w:val="20"/>
                <w:szCs w:val="20"/>
              </w:rPr>
              <w:t xml:space="preserve">regional_fuel_price_index</w:t>
            </w:r>
          </w:p>
        </w:tc>
        <w:tc>
          <w:tcPr>
            <w:tcW w:type="dxa" w:w="1200"/>
            <w:tcBorders>
              <w:top w:val="single" w:color="D5D8DC" w:sz="4"/>
              <w:left w:val="single" w:color="D5D8DC" w:sz="4"/>
              <w:bottom w:val="single" w:color="D5D8DC" w:sz="4"/>
              <w:right w:val="single" w:color="D5D8DC" w:sz="4"/>
            </w:tcBorders>
            <w:shd w:fill="EBF5FB" w:val="clear"/>
            <w:tcMar>
              <w:top w:type="dxa" w:w="50"/>
              <w:left w:type="dxa" w:w="120"/>
              <w:bottom w:type="dxa" w:w="50"/>
              <w:right w:type="dxa" w:w="120"/>
            </w:tcMar>
          </w:tcPr>
          <w:p>
            <w:pPr>
              <w:spacing w:before="0" w:after="0"/>
            </w:pPr>
            <w:r>
              <w:rPr>
                <w:rFonts w:ascii="Arial" w:cs="Arial" w:eastAsia="Arial" w:hAnsi="Arial"/>
                <w:color w:val="2C3E50"/>
                <w:sz w:val="20"/>
                <w:szCs w:val="20"/>
              </w:rPr>
              <w:t xml:space="preserve">Float</w:t>
            </w:r>
          </w:p>
        </w:tc>
        <w:tc>
          <w:tcPr>
            <w:tcW w:type="dxa" w:w="5160"/>
            <w:tcBorders>
              <w:top w:val="single" w:color="D5D8DC" w:sz="4"/>
              <w:left w:val="single" w:color="D5D8DC" w:sz="4"/>
              <w:bottom w:val="single" w:color="D5D8DC" w:sz="4"/>
              <w:right w:val="single" w:color="D5D8DC" w:sz="4"/>
            </w:tcBorders>
            <w:shd w:fill="EBF5FB" w:val="clear"/>
            <w:tcMar>
              <w:top w:type="dxa" w:w="50"/>
              <w:left w:type="dxa" w:w="120"/>
              <w:bottom w:type="dxa" w:w="50"/>
              <w:right w:type="dxa" w:w="120"/>
            </w:tcMar>
          </w:tcPr>
          <w:p>
            <w:pPr>
              <w:spacing w:before="0" w:after="0"/>
            </w:pPr>
            <w:r>
              <w:rPr>
                <w:rFonts w:ascii="Arial" w:cs="Arial" w:eastAsia="Arial" w:hAnsi="Arial"/>
                <w:color w:val="2C3E50"/>
                <w:sz w:val="20"/>
                <w:szCs w:val="20"/>
              </w:rPr>
              <w:t xml:space="preserve">Fuel price index for the shipment region</w:t>
            </w:r>
          </w:p>
        </w:tc>
      </w:tr>
      <w:tr>
        <w:tc>
          <w:tcPr>
            <w:tcW w:type="dxa" w:w="3000"/>
            <w:tcBorders>
              <w:top w:val="single" w:color="D5D8DC" w:sz="4"/>
              <w:left w:val="single" w:color="D5D8DC" w:sz="4"/>
              <w:bottom w:val="single" w:color="D5D8DC" w:sz="4"/>
              <w:right w:val="single" w:color="D5D8DC" w:sz="4"/>
            </w:tcBorders>
            <w:shd w:fill="FDFEFE" w:val="clear"/>
            <w:tcMar>
              <w:top w:type="dxa" w:w="50"/>
              <w:left w:type="dxa" w:w="120"/>
              <w:bottom w:type="dxa" w:w="50"/>
              <w:right w:type="dxa" w:w="120"/>
            </w:tcMar>
          </w:tcPr>
          <w:p>
            <w:pPr>
              <w:spacing w:before="0" w:after="0"/>
            </w:pPr>
            <w:r>
              <w:rPr>
                <w:rFonts w:ascii="Arial" w:cs="Arial" w:eastAsia="Arial" w:hAnsi="Arial"/>
                <w:color w:val="2C3E50"/>
                <w:sz w:val="20"/>
                <w:szCs w:val="20"/>
              </w:rPr>
              <w:t xml:space="preserve">geopolitical_risk_index</w:t>
            </w:r>
          </w:p>
        </w:tc>
        <w:tc>
          <w:tcPr>
            <w:tcW w:type="dxa" w:w="1200"/>
            <w:tcBorders>
              <w:top w:val="single" w:color="D5D8DC" w:sz="4"/>
              <w:left w:val="single" w:color="D5D8DC" w:sz="4"/>
              <w:bottom w:val="single" w:color="D5D8DC" w:sz="4"/>
              <w:right w:val="single" w:color="D5D8DC" w:sz="4"/>
            </w:tcBorders>
            <w:shd w:fill="FDFEFE" w:val="clear"/>
            <w:tcMar>
              <w:top w:type="dxa" w:w="50"/>
              <w:left w:type="dxa" w:w="120"/>
              <w:bottom w:type="dxa" w:w="50"/>
              <w:right w:type="dxa" w:w="120"/>
            </w:tcMar>
          </w:tcPr>
          <w:p>
            <w:pPr>
              <w:spacing w:before="0" w:after="0"/>
            </w:pPr>
            <w:r>
              <w:rPr>
                <w:rFonts w:ascii="Arial" w:cs="Arial" w:eastAsia="Arial" w:hAnsi="Arial"/>
                <w:color w:val="2C3E50"/>
                <w:sz w:val="20"/>
                <w:szCs w:val="20"/>
              </w:rPr>
              <w:t xml:space="preserve">Float</w:t>
            </w:r>
          </w:p>
        </w:tc>
        <w:tc>
          <w:tcPr>
            <w:tcW w:type="dxa" w:w="5160"/>
            <w:tcBorders>
              <w:top w:val="single" w:color="D5D8DC" w:sz="4"/>
              <w:left w:val="single" w:color="D5D8DC" w:sz="4"/>
              <w:bottom w:val="single" w:color="D5D8DC" w:sz="4"/>
              <w:right w:val="single" w:color="D5D8DC" w:sz="4"/>
            </w:tcBorders>
            <w:shd w:fill="FDFEFE" w:val="clear"/>
            <w:tcMar>
              <w:top w:type="dxa" w:w="50"/>
              <w:left w:type="dxa" w:w="120"/>
              <w:bottom w:type="dxa" w:w="50"/>
              <w:right w:type="dxa" w:w="120"/>
            </w:tcMar>
          </w:tcPr>
          <w:p>
            <w:pPr>
              <w:spacing w:before="0" w:after="0"/>
            </w:pPr>
            <w:r>
              <w:rPr>
                <w:rFonts w:ascii="Arial" w:cs="Arial" w:eastAsia="Arial" w:hAnsi="Arial"/>
                <w:color w:val="2C3E50"/>
                <w:sz w:val="20"/>
                <w:szCs w:val="20"/>
              </w:rPr>
              <w:t xml:space="preserve">Regional geopolitical instability score</w:t>
            </w:r>
          </w:p>
        </w:tc>
      </w:tr>
      <w:tr>
        <w:tc>
          <w:tcPr>
            <w:tcW w:type="dxa" w:w="3000"/>
            <w:tcBorders>
              <w:top w:val="single" w:color="D5D8DC" w:sz="4"/>
              <w:left w:val="single" w:color="D5D8DC" w:sz="4"/>
              <w:bottom w:val="single" w:color="D5D8DC" w:sz="4"/>
              <w:right w:val="single" w:color="D5D8DC" w:sz="4"/>
            </w:tcBorders>
            <w:shd w:fill="EBF5FB" w:val="clear"/>
            <w:tcMar>
              <w:top w:type="dxa" w:w="50"/>
              <w:left w:type="dxa" w:w="120"/>
              <w:bottom w:type="dxa" w:w="50"/>
              <w:right w:type="dxa" w:w="120"/>
            </w:tcMar>
          </w:tcPr>
          <w:p>
            <w:pPr>
              <w:spacing w:before="0" w:after="0"/>
            </w:pPr>
            <w:r>
              <w:rPr>
                <w:rFonts w:ascii="Arial" w:cs="Arial" w:eastAsia="Arial" w:hAnsi="Arial"/>
                <w:color w:val="2C3E50"/>
                <w:sz w:val="20"/>
                <w:szCs w:val="20"/>
              </w:rPr>
              <w:t xml:space="preserve">news_sentiment_score</w:t>
            </w:r>
          </w:p>
        </w:tc>
        <w:tc>
          <w:tcPr>
            <w:tcW w:type="dxa" w:w="1200"/>
            <w:tcBorders>
              <w:top w:val="single" w:color="D5D8DC" w:sz="4"/>
              <w:left w:val="single" w:color="D5D8DC" w:sz="4"/>
              <w:bottom w:val="single" w:color="D5D8DC" w:sz="4"/>
              <w:right w:val="single" w:color="D5D8DC" w:sz="4"/>
            </w:tcBorders>
            <w:shd w:fill="EBF5FB" w:val="clear"/>
            <w:tcMar>
              <w:top w:type="dxa" w:w="50"/>
              <w:left w:type="dxa" w:w="120"/>
              <w:bottom w:type="dxa" w:w="50"/>
              <w:right w:type="dxa" w:w="120"/>
            </w:tcMar>
          </w:tcPr>
          <w:p>
            <w:pPr>
              <w:spacing w:before="0" w:after="0"/>
            </w:pPr>
            <w:r>
              <w:rPr>
                <w:rFonts w:ascii="Arial" w:cs="Arial" w:eastAsia="Arial" w:hAnsi="Arial"/>
                <w:color w:val="2C3E50"/>
                <w:sz w:val="20"/>
                <w:szCs w:val="20"/>
              </w:rPr>
              <w:t xml:space="preserve">Float</w:t>
            </w:r>
          </w:p>
        </w:tc>
        <w:tc>
          <w:tcPr>
            <w:tcW w:type="dxa" w:w="5160"/>
            <w:tcBorders>
              <w:top w:val="single" w:color="D5D8DC" w:sz="4"/>
              <w:left w:val="single" w:color="D5D8DC" w:sz="4"/>
              <w:bottom w:val="single" w:color="D5D8DC" w:sz="4"/>
              <w:right w:val="single" w:color="D5D8DC" w:sz="4"/>
            </w:tcBorders>
            <w:shd w:fill="EBF5FB" w:val="clear"/>
            <w:tcMar>
              <w:top w:type="dxa" w:w="50"/>
              <w:left w:type="dxa" w:w="120"/>
              <w:bottom w:type="dxa" w:w="50"/>
              <w:right w:type="dxa" w:w="120"/>
            </w:tcMar>
          </w:tcPr>
          <w:p>
            <w:pPr>
              <w:spacing w:before="0" w:after="0"/>
            </w:pPr>
            <w:r>
              <w:rPr>
                <w:rFonts w:ascii="Arial" w:cs="Arial" w:eastAsia="Arial" w:hAnsi="Arial"/>
                <w:color w:val="2C3E50"/>
                <w:sz w:val="20"/>
                <w:szCs w:val="20"/>
              </w:rPr>
              <w:t xml:space="preserve">NLP-derived news sentiment score (-1 negative to +1 positive)</w:t>
            </w:r>
          </w:p>
        </w:tc>
      </w:tr>
      <w:tr>
        <w:tc>
          <w:tcPr>
            <w:tcW w:type="dxa" w:w="3000"/>
            <w:tcBorders>
              <w:top w:val="single" w:color="D5D8DC" w:sz="4"/>
              <w:left w:val="single" w:color="D5D8DC" w:sz="4"/>
              <w:bottom w:val="single" w:color="D5D8DC" w:sz="4"/>
              <w:right w:val="single" w:color="D5D8DC" w:sz="4"/>
            </w:tcBorders>
            <w:shd w:fill="FDFEFE" w:val="clear"/>
            <w:tcMar>
              <w:top w:type="dxa" w:w="50"/>
              <w:left w:type="dxa" w:w="120"/>
              <w:bottom w:type="dxa" w:w="50"/>
              <w:right w:type="dxa" w:w="120"/>
            </w:tcMar>
          </w:tcPr>
          <w:p>
            <w:pPr>
              <w:spacing w:before="0" w:after="0"/>
            </w:pPr>
            <w:r>
              <w:rPr>
                <w:rFonts w:ascii="Arial" w:cs="Arial" w:eastAsia="Arial" w:hAnsi="Arial"/>
                <w:color w:val="2C3E50"/>
                <w:sz w:val="20"/>
                <w:szCs w:val="20"/>
              </w:rPr>
              <w:t xml:space="preserve">actual_transit_days</w:t>
            </w:r>
          </w:p>
        </w:tc>
        <w:tc>
          <w:tcPr>
            <w:tcW w:type="dxa" w:w="1200"/>
            <w:tcBorders>
              <w:top w:val="single" w:color="D5D8DC" w:sz="4"/>
              <w:left w:val="single" w:color="D5D8DC" w:sz="4"/>
              <w:bottom w:val="single" w:color="D5D8DC" w:sz="4"/>
              <w:right w:val="single" w:color="D5D8DC" w:sz="4"/>
            </w:tcBorders>
            <w:shd w:fill="FDFEFE" w:val="clear"/>
            <w:tcMar>
              <w:top w:type="dxa" w:w="50"/>
              <w:left w:type="dxa" w:w="120"/>
              <w:bottom w:type="dxa" w:w="50"/>
              <w:right w:type="dxa" w:w="120"/>
            </w:tcMar>
          </w:tcPr>
          <w:p>
            <w:pPr>
              <w:spacing w:before="0" w:after="0"/>
            </w:pPr>
            <w:r>
              <w:rPr>
                <w:rFonts w:ascii="Arial" w:cs="Arial" w:eastAsia="Arial" w:hAnsi="Arial"/>
                <w:color w:val="2C3E50"/>
                <w:sz w:val="20"/>
                <w:szCs w:val="20"/>
              </w:rPr>
              <w:t xml:space="preserve">Float</w:t>
            </w:r>
          </w:p>
        </w:tc>
        <w:tc>
          <w:tcPr>
            <w:tcW w:type="dxa" w:w="5160"/>
            <w:tcBorders>
              <w:top w:val="single" w:color="D5D8DC" w:sz="4"/>
              <w:left w:val="single" w:color="D5D8DC" w:sz="4"/>
              <w:bottom w:val="single" w:color="D5D8DC" w:sz="4"/>
              <w:right w:val="single" w:color="D5D8DC" w:sz="4"/>
            </w:tcBorders>
            <w:shd w:fill="FDFEFE" w:val="clear"/>
            <w:tcMar>
              <w:top w:type="dxa" w:w="50"/>
              <w:left w:type="dxa" w:w="120"/>
              <w:bottom w:type="dxa" w:w="50"/>
              <w:right w:type="dxa" w:w="120"/>
            </w:tcMar>
          </w:tcPr>
          <w:p>
            <w:pPr>
              <w:spacing w:before="0" w:after="0"/>
            </w:pPr>
            <w:r>
              <w:rPr>
                <w:rFonts w:ascii="Arial" w:cs="Arial" w:eastAsia="Arial" w:hAnsi="Arial"/>
                <w:color w:val="2C3E50"/>
                <w:sz w:val="20"/>
                <w:szCs w:val="20"/>
              </w:rPr>
              <w:t xml:space="preserve">Observed transit time at last AIS/EDI checkpoint (8-hour granularity)</w:t>
            </w:r>
          </w:p>
        </w:tc>
      </w:tr>
      <w:tr>
        <w:tc>
          <w:tcPr>
            <w:tcW w:type="dxa" w:w="3000"/>
            <w:tcBorders>
              <w:top w:val="single" w:color="D5D8DC" w:sz="4"/>
              <w:left w:val="single" w:color="D5D8DC" w:sz="4"/>
              <w:bottom w:val="single" w:color="D5D8DC" w:sz="4"/>
              <w:right w:val="single" w:color="D5D8DC" w:sz="4"/>
            </w:tcBorders>
            <w:shd w:fill="EBF5FB" w:val="clear"/>
            <w:tcMar>
              <w:top w:type="dxa" w:w="50"/>
              <w:left w:type="dxa" w:w="120"/>
              <w:bottom w:type="dxa" w:w="50"/>
              <w:right w:type="dxa" w:w="120"/>
            </w:tcMar>
          </w:tcPr>
          <w:p>
            <w:pPr>
              <w:spacing w:before="0" w:after="0"/>
            </w:pPr>
            <w:r>
              <w:rPr>
                <w:rFonts w:ascii="Arial" w:cs="Arial" w:eastAsia="Arial" w:hAnsi="Arial"/>
                <w:color w:val="2C3E50"/>
                <w:sz w:val="20"/>
                <w:szCs w:val="20"/>
              </w:rPr>
              <w:t xml:space="preserve">delay_minutes</w:t>
            </w:r>
          </w:p>
        </w:tc>
        <w:tc>
          <w:tcPr>
            <w:tcW w:type="dxa" w:w="1200"/>
            <w:tcBorders>
              <w:top w:val="single" w:color="D5D8DC" w:sz="4"/>
              <w:left w:val="single" w:color="D5D8DC" w:sz="4"/>
              <w:bottom w:val="single" w:color="D5D8DC" w:sz="4"/>
              <w:right w:val="single" w:color="D5D8DC" w:sz="4"/>
            </w:tcBorders>
            <w:shd w:fill="EBF5FB" w:val="clear"/>
            <w:tcMar>
              <w:top w:type="dxa" w:w="50"/>
              <w:left w:type="dxa" w:w="120"/>
              <w:bottom w:type="dxa" w:w="50"/>
              <w:right w:type="dxa" w:w="120"/>
            </w:tcMar>
          </w:tcPr>
          <w:p>
            <w:pPr>
              <w:spacing w:before="0" w:after="0"/>
            </w:pPr>
            <w:r>
              <w:rPr>
                <w:rFonts w:ascii="Arial" w:cs="Arial" w:eastAsia="Arial" w:hAnsi="Arial"/>
                <w:color w:val="2C3E50"/>
                <w:sz w:val="20"/>
                <w:szCs w:val="20"/>
              </w:rPr>
              <w:t xml:space="preserve">Integer</w:t>
            </w:r>
          </w:p>
        </w:tc>
        <w:tc>
          <w:tcPr>
            <w:tcW w:type="dxa" w:w="5160"/>
            <w:tcBorders>
              <w:top w:val="single" w:color="D5D8DC" w:sz="4"/>
              <w:left w:val="single" w:color="D5D8DC" w:sz="4"/>
              <w:bottom w:val="single" w:color="D5D8DC" w:sz="4"/>
              <w:right w:val="single" w:color="D5D8DC" w:sz="4"/>
            </w:tcBorders>
            <w:shd w:fill="EBF5FB" w:val="clear"/>
            <w:tcMar>
              <w:top w:type="dxa" w:w="50"/>
              <w:left w:type="dxa" w:w="120"/>
              <w:bottom w:type="dxa" w:w="50"/>
              <w:right w:type="dxa" w:w="120"/>
            </w:tcMar>
          </w:tcPr>
          <w:p>
            <w:pPr>
              <w:spacing w:before="0" w:after="0"/>
            </w:pPr>
            <w:r>
              <w:rPr>
                <w:rFonts w:ascii="Arial" w:cs="Arial" w:eastAsia="Arial" w:hAnsi="Arial"/>
                <w:color w:val="2C3E50"/>
                <w:sz w:val="20"/>
                <w:szCs w:val="20"/>
              </w:rPr>
              <w:t xml:space="preserve">Total shipment delay in minutes</w:t>
            </w:r>
          </w:p>
        </w:tc>
      </w:tr>
      <w:tr>
        <w:tc>
          <w:tcPr>
            <w:tcW w:type="dxa" w:w="3000"/>
            <w:tcBorders>
              <w:top w:val="single" w:color="D5D8DC" w:sz="4"/>
              <w:left w:val="single" w:color="D5D8DC" w:sz="4"/>
              <w:bottom w:val="single" w:color="D5D8DC" w:sz="4"/>
              <w:right w:val="single" w:color="D5D8DC" w:sz="4"/>
            </w:tcBorders>
            <w:shd w:fill="FDFEFE" w:val="clear"/>
            <w:tcMar>
              <w:top w:type="dxa" w:w="50"/>
              <w:left w:type="dxa" w:w="120"/>
              <w:bottom w:type="dxa" w:w="50"/>
              <w:right w:type="dxa" w:w="120"/>
            </w:tcMar>
          </w:tcPr>
          <w:p>
            <w:pPr>
              <w:spacing w:before="0" w:after="0"/>
            </w:pPr>
            <w:r>
              <w:rPr>
                <w:rFonts w:ascii="Arial" w:cs="Arial" w:eastAsia="Arial" w:hAnsi="Arial"/>
                <w:color w:val="2C3E50"/>
                <w:sz w:val="20"/>
                <w:szCs w:val="20"/>
              </w:rPr>
              <w:t xml:space="preserve">is_delayed</w:t>
            </w:r>
          </w:p>
        </w:tc>
        <w:tc>
          <w:tcPr>
            <w:tcW w:type="dxa" w:w="1200"/>
            <w:tcBorders>
              <w:top w:val="single" w:color="D5D8DC" w:sz="4"/>
              <w:left w:val="single" w:color="D5D8DC" w:sz="4"/>
              <w:bottom w:val="single" w:color="D5D8DC" w:sz="4"/>
              <w:right w:val="single" w:color="D5D8DC" w:sz="4"/>
            </w:tcBorders>
            <w:shd w:fill="FDFEFE" w:val="clear"/>
            <w:tcMar>
              <w:top w:type="dxa" w:w="50"/>
              <w:left w:type="dxa" w:w="120"/>
              <w:bottom w:type="dxa" w:w="50"/>
              <w:right w:type="dxa" w:w="120"/>
            </w:tcMar>
          </w:tcPr>
          <w:p>
            <w:pPr>
              <w:spacing w:before="0" w:after="0"/>
            </w:pPr>
            <w:r>
              <w:rPr>
                <w:rFonts w:ascii="Arial" w:cs="Arial" w:eastAsia="Arial" w:hAnsi="Arial"/>
                <w:color w:val="2C3E50"/>
                <w:sz w:val="20"/>
                <w:szCs w:val="20"/>
              </w:rPr>
              <w:t xml:space="preserve">Boolean</w:t>
            </w:r>
          </w:p>
        </w:tc>
        <w:tc>
          <w:tcPr>
            <w:tcW w:type="dxa" w:w="5160"/>
            <w:tcBorders>
              <w:top w:val="single" w:color="D5D8DC" w:sz="4"/>
              <w:left w:val="single" w:color="D5D8DC" w:sz="4"/>
              <w:bottom w:val="single" w:color="D5D8DC" w:sz="4"/>
              <w:right w:val="single" w:color="D5D8DC" w:sz="4"/>
            </w:tcBorders>
            <w:shd w:fill="FDFEFE" w:val="clear"/>
            <w:tcMar>
              <w:top w:type="dxa" w:w="50"/>
              <w:left w:type="dxa" w:w="120"/>
              <w:bottom w:type="dxa" w:w="50"/>
              <w:right w:type="dxa" w:w="120"/>
            </w:tcMar>
          </w:tcPr>
          <w:p>
            <w:pPr>
              <w:spacing w:before="0" w:after="0"/>
            </w:pPr>
            <w:r>
              <w:rPr>
                <w:rFonts w:ascii="Arial" w:cs="Arial" w:eastAsia="Arial" w:hAnsi="Arial"/>
                <w:color w:val="2C3E50"/>
                <w:sz w:val="20"/>
                <w:szCs w:val="20"/>
              </w:rPr>
              <w:t xml:space="preserve">Target variable: True if shipment is delayed, False if on-time</w:t>
            </w:r>
          </w:p>
        </w:tc>
      </w:tr>
    </w:tbl>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48F77" w:sz="4" w:space="1"/>
      </w:pBdr>
      <w:tabs>
        <w:tab w:val="right" w:pos="9360"/>
      </w:tabs>
      <w:spacing w:before="60" w:after="0"/>
    </w:pPr>
    <w:r>
      <w:rPr>
        <w:rFonts w:ascii="Arial" w:cs="Arial" w:eastAsia="Arial" w:hAnsi="Arial"/>
        <w:sz w:val="16"/>
        <w:szCs w:val="16"/>
      </w:rPr>
      <w:t xml:space="preserve">	</w:t>
    </w:r>
    <w:r>
      <w:rPr>
        <w:rFonts w:ascii="Arial" w:cs="Arial" w:eastAsia="Arial" w:hAnsi="Arial"/>
        <w:color w:val="56657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48F77" w:sz="4" w:space="1"/>
      </w:pBdr>
      <w:spacing w:before="0" w:after="60"/>
    </w:pPr>
    <w:r>
      <w:rPr>
        <w:rFonts w:ascii="Arial" w:cs="Arial" w:eastAsia="Arial" w:hAnsi="Arial"/>
        <w:b/>
        <w:bCs/>
        <w:color w:val="1A5276"/>
        <w:sz w:val="18"/>
        <w:szCs w:val="18"/>
      </w:rPr>
      <w:t xml:space="preserve">NEXUS LOGISTICS AI  </w:t>
    </w:r>
    <w:r>
      <w:rPr>
        <w:rFonts w:ascii="Arial" w:cs="Arial" w:eastAsia="Arial" w:hAnsi="Arial"/>
        <w:color w:val="566573"/>
        <w:sz w:val="18"/>
        <w:szCs w:val="18"/>
      </w:rPr>
      <w:t xml:space="preserve">| Disruption-Proof Rerouting with Explainability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40" w:after="80"/>
      <w:outlineLvl w:val="0"/>
    </w:pPr>
    <w:rPr>
      <w:rFonts w:ascii="Arial" w:cs="Arial" w:eastAsia="Arial" w:hAnsi="Arial"/>
      <w:b/>
      <w:bCs/>
      <w:color w:val="1A5276"/>
      <w:sz w:val="32"/>
      <w:szCs w:val="32"/>
    </w:rPr>
  </w:style>
  <w:style w:type="paragraph" w:styleId="Heading2">
    <w:name w:val="Heading 2"/>
    <w:basedOn w:val="Normal"/>
    <w:next w:val="Normal"/>
    <w:qFormat/>
    <w:pPr>
      <w:spacing w:before="240" w:after="60"/>
      <w:outlineLvl w:val="1"/>
    </w:pPr>
    <w:rPr>
      <w:rFonts w:ascii="Arial" w:cs="Arial" w:eastAsia="Arial" w:hAnsi="Arial"/>
      <w:b/>
      <w:bCs/>
      <w:color w:val="148F77"/>
      <w:sz w:val="26"/>
      <w:szCs w:val="26"/>
    </w:rPr>
  </w:style>
  <w:style w:type="paragraph" w:styleId="Heading3">
    <w:name w:val="Heading 3"/>
    <w:basedOn w:val="Normal"/>
    <w:next w:val="Normal"/>
    <w:qFormat/>
    <w:pPr>
      <w:spacing w:before="180" w:after="40"/>
      <w:outlineLvl w:val="2"/>
    </w:pPr>
    <w:rPr>
      <w:rFonts w:ascii="Arial" w:cs="Arial" w:eastAsia="Arial" w:hAnsi="Arial"/>
      <w:b/>
      <w:bCs/>
      <w:color w:val="1B2631"/>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2026-03-31T07:08:13.166Z</dcterms:created>
  <dcterms:modified xsi:type="dcterms:W3CDTF">2026-03-31T07:08:13.167Z</dcterms:modified>
</cp:coreProperties>
</file>

<file path=docProps/custom.xml><?xml version="1.0" encoding="utf-8"?>
<Properties xmlns="http://schemas.openxmlformats.org/officeDocument/2006/custom-properties" xmlns:vt="http://schemas.openxmlformats.org/officeDocument/2006/docPropsVTypes"/>
</file>