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INCUBRIX — DAY 1 RESEARCH PACK</w:t>
      </w:r>
    </w:p>
    <w:p>
      <w:pPr>
        <w:jc w:val="center"/>
      </w:pPr>
      <w:r>
        <w:rPr>
          <w:i/>
        </w:rPr>
        <w:t>Product positioning • Creator ICP • Qualification rules • Growth opportunities</w:t>
      </w:r>
    </w:p>
    <w:p>
      <w:r>
        <w:t>Prepared: 25 October 2026 | Scope: public-source research and assessment configuration</w:t>
      </w:r>
    </w:p>
    <w:p>
      <w:pPr>
        <w:pStyle w:val="Heading1"/>
      </w:pPr>
      <w:r>
        <w:t>1. Executive summary</w:t>
      </w:r>
    </w:p>
    <w:p>
      <w:r>
        <w:t>Recommended starting segment: English-speaking long-form video/podcast creators who already monetise their expertise and publish across more than one platform. They have a plausible combination of content volume, commercial intent and a reason to repurpose content. Prioritise evidence of workflow friction over follower count.</w:t>
      </w:r>
    </w:p>
    <w:p>
      <w:r>
        <w:t>Important boundary: this pack is a completed desk-research deliverable based on public IncuBrix pages and official platform/regulator documentation. It does not claim that the logged-in IncuBrix product was personally tested. The assessment explicitly requires product use; that specific evidence cannot honestly be manufactured without access to the app/account. Record a short in-app validation as blocked until a working login is available, rather than claiming hands-on testing.</w:t>
      </w:r>
    </w:p>
    <w:p>
      <w:pPr>
        <w:pStyle w:val="Heading1"/>
      </w:pPr>
      <w:r>
        <w:t>2. Five product/market observations</w:t>
      </w:r>
    </w:p>
    <w:p>
      <w:pPr>
        <w:pStyle w:val="Heading2"/>
      </w:pPr>
      <w:r>
        <w:t>OBS-01 — IncuBrix positions itself as an end-to-end creator workflow, not just a clip generator.</w:t>
      </w:r>
    </w:p>
    <w:p>
      <w:r>
        <w:t>Evidence: The homepage describes converting one content item into clips, captions, voiceovers and posts, then publishing and tracking across platforms.</w:t>
      </w:r>
    </w:p>
    <w:p>
      <w:r>
        <w:t>Growth implication: Lead with the operational outcome—turn one recording into a multi-platform content workflow—rather than selling a single AI feature.</w:t>
      </w:r>
    </w:p>
    <w:p>
      <w:r>
        <w:t>Confidence / caveat: High for website positioning; product availability still requires in-app validation.</w:t>
      </w:r>
    </w:p>
    <w:p>
      <w:r>
        <w:t>Source: https://incubrix.com/</w:t>
      </w:r>
    </w:p>
    <w:p>
      <w:pPr>
        <w:pStyle w:val="Heading2"/>
      </w:pPr>
      <w:r>
        <w:t>OBS-02 — Long-form video and podcast creators are the clearest initial ICP.</w:t>
      </w:r>
    </w:p>
    <w:p>
      <w:r>
        <w:t>Evidence: The homepage explicitly calls out podcasters and YouTubers and describes turning long recordings or a back catalog into clips and supporting posts.</w:t>
      </w:r>
    </w:p>
    <w:p>
      <w:r>
        <w:t>Growth implication: Prioritise creators who regularly publish long-form episodes/videos and have a visible Shorts/Reels/LinkedIn repurposing opportunity.</w:t>
      </w:r>
    </w:p>
    <w:p>
      <w:r>
        <w:t>Confidence / caveat: High for positioning; conversion hypothesis to test.</w:t>
      </w:r>
    </w:p>
    <w:p>
      <w:r>
        <w:t>Source: https://incubrix.com/</w:t>
      </w:r>
    </w:p>
    <w:p>
      <w:pPr>
        <w:pStyle w:val="Heading2"/>
      </w:pPr>
      <w:r>
        <w:t>OBS-03 — Multi-platform presence is a useful signal for workflow pain.</w:t>
      </w:r>
    </w:p>
    <w:p>
      <w:r>
        <w:t>Evidence: The site describes posting across YouTube, Instagram, LinkedIn, Spotify and Bluesky from one screen, with format/caption adaptation and less tab switching.</w:t>
      </w:r>
    </w:p>
    <w:p>
      <w:r>
        <w:t>Growth implication: Score creators higher when the same episode/topic appears on multiple platforms or their bio links show multiple active channels.</w:t>
      </w:r>
    </w:p>
    <w:p>
      <w:r>
        <w:t>Confidence / caveat: High for stated positioning; need evidence on each lead.</w:t>
      </w:r>
    </w:p>
    <w:p>
      <w:r>
        <w:t>Source: https://incubrix.com/</w:t>
      </w:r>
    </w:p>
    <w:p>
      <w:pPr>
        <w:pStyle w:val="Heading2"/>
      </w:pPr>
      <w:r>
        <w:t>OBS-04 — Analytics should not be the main promise until feature availability is verified.</w:t>
      </w:r>
    </w:p>
    <w:p>
      <w:r>
        <w:t>Evidence: The homepage labels Content Performance as 'Coming soon'; the how-it-works and FAQ pages also describe some functionality as upcoming/roadmap.</w:t>
      </w:r>
    </w:p>
    <w:p>
      <w:r>
        <w:t>Growth implication: Outreach should focus on currently confirmed creation/repurposing value. Verify feature availability in the logged-in product before making claims.</w:t>
      </w:r>
    </w:p>
    <w:p>
      <w:r>
        <w:t>Confidence / caveat: High for public website wording; public pages can lag actual product state.</w:t>
      </w:r>
    </w:p>
    <w:p>
      <w:r>
        <w:t>Source: https://incubrix.com/</w:t>
      </w:r>
    </w:p>
    <w:p>
      <w:pPr>
        <w:pStyle w:val="Heading2"/>
      </w:pPr>
      <w:r>
        <w:t>OBS-05 — Pricing information is inconsistent across public pages, so price-led outreach is risky.</w:t>
      </w:r>
    </w:p>
    <w:p>
      <w:r>
        <w:t>Evidence: The pricing page and FAQ list different plan names/prices. The homepage says free to start/no card required.</w:t>
      </w:r>
    </w:p>
    <w:p>
      <w:r>
        <w:t>Growth implication: Avoid quoting plan prices or credit limits in outbound copy. Use 'free to start' only after confirming it still applies in-app.</w:t>
      </w:r>
    </w:p>
    <w:p>
      <w:r>
        <w:t>Confidence / caveat: High for visible inconsistency; must recheck before launch.</w:t>
      </w:r>
    </w:p>
    <w:p>
      <w:r>
        <w:t>Source: https://incubrix.com/pricing and https://incubrix.com/faq</w:t>
      </w:r>
    </w:p>
    <w:p>
      <w:pPr>
        <w:pStyle w:val="Heading1"/>
      </w:pPr>
      <w:r>
        <w:t>3. Three biggest growth opportunities</w:t>
      </w:r>
    </w:p>
    <w:p>
      <w:pPr>
        <w:pStyle w:val="Heading2"/>
      </w:pPr>
      <w:r>
        <w:t>Opportunity 1: Long-form creators with a repurposing backlog</w:t>
      </w:r>
    </w:p>
    <w:p>
      <w:r>
        <w:t>Target signals: Weekly podcast or long-form YouTube; many episodes; limited short-form clips; content archive; clips/posting irregularity.</w:t>
      </w:r>
    </w:p>
    <w:p>
      <w:r>
        <w:t>Why this is promising: The product's stated value proposition explicitly converts long-form recordings and back catalogs into short-form assets.</w:t>
      </w:r>
    </w:p>
    <w:p>
      <w:r>
        <w:t>Outreach angle: One recording can support a week of clips and posts without manually rebuilding each asset.</w:t>
      </w:r>
    </w:p>
    <w:p>
      <w:r>
        <w:t>Evidence to collect: Official channel/profile, recent long-form posts, public commercial offer, visible repurposing/workflow evidence, public business contact channel active in last 60 days.</w:t>
      </w:r>
    </w:p>
    <w:p>
      <w:pPr>
        <w:pStyle w:val="Heading2"/>
      </w:pPr>
      <w:r>
        <w:t>Opportunity 2: Expert-led creators with a monetised offer</w:t>
      </w:r>
    </w:p>
    <w:p>
      <w:r>
        <w:t>Target signals: Coach, consultant, educator or founder who publishes videos/podcasts and sells coaching, courses, consulting, membership or services.</w:t>
      </w:r>
    </w:p>
    <w:p>
      <w:r>
        <w:t>Why this is promising: Their content has a direct business purpose: audience growth and lead generation. Public offer evidence gives a stronger commercial qualification signal than follower count alone.</w:t>
      </w:r>
    </w:p>
    <w:p>
      <w:r>
        <w:t>Outreach angle: Turn existing expertise into consistent content that supports the offer they already sell.</w:t>
      </w:r>
    </w:p>
    <w:p>
      <w:r>
        <w:t>Evidence to collect: Official creator profile, explicit course/service/booking/membership/sponsorship evidence, active content, specific recent content reference, business contact channel.</w:t>
      </w:r>
    </w:p>
    <w:p>
      <w:pPr>
        <w:pStyle w:val="Heading2"/>
      </w:pPr>
      <w:r>
        <w:t>Opportunity 3: Multi-platform creators with publishing friction</w:t>
      </w:r>
    </w:p>
    <w:p>
      <w:r>
        <w:t>Target signals: Active on 2+ relevant platforms; different formats per platform; irregular cadence or manual cross-posting signals.</w:t>
      </w:r>
    </w:p>
    <w:p>
      <w:r>
        <w:t>Why this is promising: IncuBrix positions cross-platform formatting and publishing as a way to reduce tab switching and repetitive work.</w:t>
      </w:r>
    </w:p>
    <w:p>
      <w:r>
        <w:t>Outreach angle: Reduce the number of separate steps between recording and publishing across platforms.</w:t>
      </w:r>
    </w:p>
    <w:p>
      <w:r>
        <w:t>Evidence to collect: Official profile URLs on multiple platforms, recent activity, public commercial offer, concrete workflow friction signal, verified public contact channel.</w:t>
      </w:r>
    </w:p>
    <w:p>
      <w:pPr>
        <w:pStyle w:val="Heading1"/>
      </w:pPr>
      <w:r>
        <w:t>4. Qualification rules — hard gates, not soft scoring</w:t>
      </w:r>
    </w:p>
    <w:p>
      <w:pPr>
        <w:pStyle w:val="ListBullet"/>
      </w:pPr>
      <w:r>
        <w:t>Creator type: podcaster/video podcaster, YouTuber/video-first creator, or expert-led coach/consultant/educator who publishes content. Exclude agencies, management firms, generic brands, publications, directories and fan accounts.</w:t>
      </w:r>
    </w:p>
    <w:p>
      <w:pPr>
        <w:pStyle w:val="ListBullet"/>
      </w:pPr>
      <w:r>
        <w:t>Geography: at least 80% from the US, Canada, UK, Ireland, Australia, New Zealand and Singapore; at least 3 countries represented; no single country over 60%.</w:t>
      </w:r>
    </w:p>
    <w:p>
      <w:pPr>
        <w:pStyle w:val="ListBullet"/>
      </w:pPr>
      <w:r>
        <w:t>Language: recent content is mainly English.</w:t>
      </w:r>
    </w:p>
    <w:p>
      <w:pPr>
        <w:pStyle w:val="ListBullet"/>
      </w:pPr>
      <w:r>
        <w:t>Identity: official profile plus stable platform ID/handle; one canonical record per creator across platforms.</w:t>
      </w:r>
    </w:p>
    <w:p>
      <w:pPr>
        <w:pStyle w:val="ListBullet"/>
      </w:pPr>
      <w:r>
        <w:t>Activity: either at least 8 content items in the previous 30 days OR at least 2 long-form items in the previous 60 days.</w:t>
      </w:r>
    </w:p>
    <w:p>
      <w:pPr>
        <w:pStyle w:val="ListBullet"/>
      </w:pPr>
      <w:r>
        <w:t>Commercial signal: public evidence of sponsorship, product, service, course, membership, subscription, affiliate offer or similar.</w:t>
      </w:r>
    </w:p>
    <w:p>
      <w:pPr>
        <w:pStyle w:val="ListBullet"/>
      </w:pPr>
      <w:r>
        <w:t>Product need: public evidence connected to creation, repurposing, editing, captions, publishing, consistency, backlog or team workflow. Do not infer pain solely from follower count.</w:t>
      </w:r>
    </w:p>
    <w:p>
      <w:pPr>
        <w:pStyle w:val="ListBullet"/>
      </w:pPr>
      <w:r>
        <w:t>Reachability: public business contact channel used by the creator and active within the last 60 days. Never guess email addresses or handles.</w:t>
      </w:r>
    </w:p>
    <w:p>
      <w:pPr>
        <w:pStyle w:val="ListBullet"/>
      </w:pPr>
      <w:r>
        <w:t>Freshness/completeness: every required evidence link works; checked within the last 30 days; record checked date; deduplicate before scoring.</w:t>
      </w:r>
    </w:p>
    <w:p>
      <w:pPr>
        <w:pStyle w:val="ListBullet"/>
      </w:pPr>
      <w:r>
        <w:t>Outreach: personalised first message and two follow-ups for each Priority A lead. Include sender identity and a simple opt-out. Do not contact real creators for the assessment; test only on accounts you own.</w:t>
      </w:r>
    </w:p>
    <w:p>
      <w:pPr>
        <w:pStyle w:val="Heading1"/>
      </w:pPr>
      <w:r>
        <w:t>5. Proposed scoring model after hard-gate qualification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Dimension</w:t>
            </w:r>
          </w:p>
        </w:tc>
        <w:tc>
          <w:tcPr>
            <w:tcW w:type="dxa" w:w="3312"/>
          </w:tcPr>
          <w:p>
            <w:r>
              <w:t>Weight</w:t>
            </w:r>
          </w:p>
        </w:tc>
        <w:tc>
          <w:tcPr>
            <w:tcW w:type="dxa" w:w="3312"/>
          </w:tcPr>
          <w:p>
            <w:r>
              <w:t>What earns a high score</w:t>
            </w:r>
          </w:p>
        </w:tc>
      </w:tr>
      <w:tr>
        <w:tc>
          <w:tcPr>
            <w:tcW w:type="dxa" w:w="3312"/>
          </w:tcPr>
          <w:p>
            <w:r>
              <w:t>Workflow need</w:t>
            </w:r>
          </w:p>
        </w:tc>
        <w:tc>
          <w:tcPr>
            <w:tcW w:type="dxa" w:w="3312"/>
          </w:tcPr>
          <w:p>
            <w:r>
              <w:t>30</w:t>
            </w:r>
          </w:p>
        </w:tc>
        <w:tc>
          <w:tcPr>
            <w:tcW w:type="dxa" w:w="3312"/>
          </w:tcPr>
          <w:p>
            <w:r>
              <w:t>Specific public evidence of repurposing, editing, captions, publishing or consistency friction.</w:t>
            </w:r>
          </w:p>
        </w:tc>
      </w:tr>
      <w:tr>
        <w:tc>
          <w:tcPr>
            <w:tcW w:type="dxa" w:w="3312"/>
          </w:tcPr>
          <w:p>
            <w:r>
              <w:t>Segment fit</w:t>
            </w:r>
          </w:p>
        </w:tc>
        <w:tc>
          <w:tcPr>
            <w:tcW w:type="dxa" w:w="3312"/>
          </w:tcPr>
          <w:p>
            <w:r>
              <w:t>25</w:t>
            </w:r>
          </w:p>
        </w:tc>
        <w:tc>
          <w:tcPr>
            <w:tcW w:type="dxa" w:w="3312"/>
          </w:tcPr>
          <w:p>
            <w:r>
              <w:t>Long-form/podcast/video-first or expert-led creator aligned to IncuBrix's stated ICP.</w:t>
            </w:r>
          </w:p>
        </w:tc>
      </w:tr>
      <w:tr>
        <w:tc>
          <w:tcPr>
            <w:tcW w:type="dxa" w:w="3312"/>
          </w:tcPr>
          <w:p>
            <w:r>
              <w:t>Commercial intent</w:t>
            </w:r>
          </w:p>
        </w:tc>
        <w:tc>
          <w:tcPr>
            <w:tcW w:type="dxa" w:w="3312"/>
          </w:tcPr>
          <w:p>
            <w:r>
              <w:t>20</w:t>
            </w:r>
          </w:p>
        </w:tc>
        <w:tc>
          <w:tcPr>
            <w:tcW w:type="dxa" w:w="3312"/>
          </w:tcPr>
          <w:p>
            <w:r>
              <w:t>Explicit, current monetisation: offer, course, booking, sponsor, membership or affiliate.</w:t>
            </w:r>
          </w:p>
        </w:tc>
      </w:tr>
      <w:tr>
        <w:tc>
          <w:tcPr>
            <w:tcW w:type="dxa" w:w="3312"/>
          </w:tcPr>
          <w:p>
            <w:r>
              <w:t>Publishing consistency</w:t>
            </w:r>
          </w:p>
        </w:tc>
        <w:tc>
          <w:tcPr>
            <w:tcW w:type="dxa" w:w="3312"/>
          </w:tcPr>
          <w:p>
            <w:r>
              <w:t>15</w:t>
            </w:r>
          </w:p>
        </w:tc>
        <w:tc>
          <w:tcPr>
            <w:tcW w:type="dxa" w:w="3312"/>
          </w:tcPr>
          <w:p>
            <w:r>
              <w:t>Meets activity threshold; multi-format output increases usefulness.</w:t>
            </w:r>
          </w:p>
        </w:tc>
      </w:tr>
      <w:tr>
        <w:tc>
          <w:tcPr>
            <w:tcW w:type="dxa" w:w="3312"/>
          </w:tcPr>
          <w:p>
            <w:r>
              <w:t>Contact channel quality</w:t>
            </w:r>
          </w:p>
        </w:tc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Official public business channel, recent activity and clear connection to creator.</w:t>
            </w:r>
          </w:p>
        </w:tc>
      </w:tr>
    </w:tbl>
    <w:p>
      <w:r>
        <w:t>Hard gates determine qualification; this score ranks qualified leads only. A high score must never compensate for missing evidence.</w:t>
      </w:r>
    </w:p>
    <w:p>
      <w:pPr>
        <w:pStyle w:val="Heading1"/>
      </w:pPr>
      <w:r>
        <w:t>6. Discovery and verification strategy</w:t>
      </w:r>
    </w:p>
    <w:p>
      <w:r>
        <w:t>Use a hybrid pipeline rather than relying on one source:</w:t>
      </w:r>
    </w:p>
    <w:p>
      <w:pPr>
        <w:pStyle w:val="ListBullet"/>
      </w:pPr>
      <w:r>
        <w:t>Discovery: YouTube Data API for channel/video discovery where an API key and quota are available; public creator websites and podcast episode pages; search engine results for finding official profiles.</w:t>
      </w:r>
    </w:p>
    <w:p>
      <w:pPr>
        <w:pStyle w:val="ListBullet"/>
      </w:pPr>
      <w:r>
        <w:t>Verification: open official creator profile/site and capture stable ID, recent content, commercial offer, workflow-need evidence, contact channel and dates. For top 25, manually inspect every evidence link and write specific personalisation.</w:t>
      </w:r>
    </w:p>
    <w:p>
      <w:pPr>
        <w:pStyle w:val="ListBullet"/>
      </w:pPr>
      <w:r>
        <w:t>Contact verification: only use an email/contact form/business inquiry channel explicitly published by the creator or their official site; record the source URL and date checked.</w:t>
      </w:r>
    </w:p>
    <w:p>
      <w:pPr>
        <w:pStyle w:val="ListBullet"/>
      </w:pPr>
      <w:r>
        <w:t>Deduplication: canonical platform ID first, then normalised official profile URL; cross-platform identity merges require explicit evidence, not fuzzy name alone.</w:t>
      </w:r>
    </w:p>
    <w:p>
      <w:pPr>
        <w:pStyle w:val="ListBullet"/>
      </w:pPr>
      <w:r>
        <w:t>Refresh: recheck freshness windows, flag stale leads for review, retain historical run ID and timestamp, and never silently promote stale evidence to qualified.</w:t>
      </w:r>
    </w:p>
    <w:p>
      <w:pPr>
        <w:pStyle w:val="Heading1"/>
      </w:pPr>
      <w:r>
        <w:t>7. Legal/platform safety and tool constraints</w:t>
      </w:r>
    </w:p>
    <w:p>
      <w:r>
        <w:t>YouTube Data API has quota limits; Google's documentation currently describes a default 100 search.list calls/day and 10,000 units/day for other endpoints, subject to change. Use the official API and check the API Console for actual quota. Do not scrape YouTube/Google pages outside permitted methods.</w:t>
      </w:r>
    </w:p>
    <w:p>
      <w:r>
        <w:t>LinkedIn expressly prohibits third-party scraping and unauthorised automated activity. Do not build a LinkedIn scraper or auto-DM workflow. Treat LinkedIn as a manual, human-reviewed channel unless an authorised integration is available.</w:t>
      </w:r>
    </w:p>
    <w:p>
      <w:r>
        <w:t>Marketing rules vary by country and recipient type. UK ICO guidance says electronic direct marketing rules can cover email and social-media direct messages; identity, opt-out, lawful basis and recipient category matter. This is operational guidance, not legal advice. Apply applicable laws for each recipient and get legal review before production outreach.</w:t>
      </w:r>
    </w:p>
    <w:p>
      <w:pPr>
        <w:pStyle w:val="Heading1"/>
      </w:pPr>
      <w:r>
        <w:t>8. Country mix planning target (not actual lead counts)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Country</w:t>
            </w:r>
          </w:p>
        </w:tc>
        <w:tc>
          <w:tcPr>
            <w:tcW w:type="dxa" w:w="3312"/>
          </w:tcPr>
          <w:p>
            <w:r>
              <w:t>Planning target</w:t>
            </w:r>
          </w:p>
        </w:tc>
        <w:tc>
          <w:tcPr>
            <w:tcW w:type="dxa" w:w="3312"/>
          </w:tcPr>
          <w:p>
            <w:r>
              <w:t>Share of 1,000</w:t>
            </w:r>
          </w:p>
        </w:tc>
      </w:tr>
      <w:tr>
        <w:tc>
          <w:tcPr>
            <w:tcW w:type="dxa" w:w="3312"/>
          </w:tcPr>
          <w:p>
            <w:r>
              <w:t>United States</w:t>
            </w:r>
          </w:p>
        </w:tc>
        <w:tc>
          <w:tcPr>
            <w:tcW w:type="dxa" w:w="3312"/>
          </w:tcPr>
          <w:p>
            <w:r>
              <w:t>300</w:t>
            </w:r>
          </w:p>
        </w:tc>
        <w:tc>
          <w:tcPr>
            <w:tcW w:type="dxa" w:w="3312"/>
          </w:tcPr>
          <w:p>
            <w:r>
              <w:t>30%</w:t>
            </w:r>
          </w:p>
        </w:tc>
      </w:tr>
      <w:tr>
        <w:tc>
          <w:tcPr>
            <w:tcW w:type="dxa" w:w="3312"/>
          </w:tcPr>
          <w:p>
            <w:r>
              <w:t>United Kingdom</w:t>
            </w:r>
          </w:p>
        </w:tc>
        <w:tc>
          <w:tcPr>
            <w:tcW w:type="dxa" w:w="3312"/>
          </w:tcPr>
          <w:p>
            <w:r>
              <w:t>200</w:t>
            </w:r>
          </w:p>
        </w:tc>
        <w:tc>
          <w:tcPr>
            <w:tcW w:type="dxa" w:w="3312"/>
          </w:tcPr>
          <w:p>
            <w:r>
              <w:t>20%</w:t>
            </w:r>
          </w:p>
        </w:tc>
      </w:tr>
      <w:tr>
        <w:tc>
          <w:tcPr>
            <w:tcW w:type="dxa" w:w="3312"/>
          </w:tcPr>
          <w:p>
            <w:r>
              <w:t>Canada</w:t>
            </w:r>
          </w:p>
        </w:tc>
        <w:tc>
          <w:tcPr>
            <w:tcW w:type="dxa" w:w="3312"/>
          </w:tcPr>
          <w:p>
            <w:r>
              <w:t>150</w:t>
            </w:r>
          </w:p>
        </w:tc>
        <w:tc>
          <w:tcPr>
            <w:tcW w:type="dxa" w:w="3312"/>
          </w:tcPr>
          <w:p>
            <w:r>
              <w:t>15%</w:t>
            </w:r>
          </w:p>
        </w:tc>
      </w:tr>
      <w:tr>
        <w:tc>
          <w:tcPr>
            <w:tcW w:type="dxa" w:w="3312"/>
          </w:tcPr>
          <w:p>
            <w:r>
              <w:t>Australia</w:t>
            </w:r>
          </w:p>
        </w:tc>
        <w:tc>
          <w:tcPr>
            <w:tcW w:type="dxa" w:w="3312"/>
          </w:tcPr>
          <w:p>
            <w:r>
              <w:t>120</w:t>
            </w:r>
          </w:p>
        </w:tc>
        <w:tc>
          <w:tcPr>
            <w:tcW w:type="dxa" w:w="3312"/>
          </w:tcPr>
          <w:p>
            <w:r>
              <w:t>12%</w:t>
            </w:r>
          </w:p>
        </w:tc>
      </w:tr>
      <w:tr>
        <w:tc>
          <w:tcPr>
            <w:tcW w:type="dxa" w:w="3312"/>
          </w:tcPr>
          <w:p>
            <w:r>
              <w:t>Ireland</w:t>
            </w:r>
          </w:p>
        </w:tc>
        <w:tc>
          <w:tcPr>
            <w:tcW w:type="dxa" w:w="3312"/>
          </w:tcPr>
          <w:p>
            <w:r>
              <w:t>80</w:t>
            </w:r>
          </w:p>
        </w:tc>
        <w:tc>
          <w:tcPr>
            <w:tcW w:type="dxa" w:w="3312"/>
          </w:tcPr>
          <w:p>
            <w:r>
              <w:t>8%</w:t>
            </w:r>
          </w:p>
        </w:tc>
      </w:tr>
      <w:tr>
        <w:tc>
          <w:tcPr>
            <w:tcW w:type="dxa" w:w="3312"/>
          </w:tcPr>
          <w:p>
            <w:r>
              <w:t>Singapore</w:t>
            </w:r>
          </w:p>
        </w:tc>
        <w:tc>
          <w:tcPr>
            <w:tcW w:type="dxa" w:w="3312"/>
          </w:tcPr>
          <w:p>
            <w:r>
              <w:t>80</w:t>
            </w:r>
          </w:p>
        </w:tc>
        <w:tc>
          <w:tcPr>
            <w:tcW w:type="dxa" w:w="3312"/>
          </w:tcPr>
          <w:p>
            <w:r>
              <w:t>8%</w:t>
            </w:r>
          </w:p>
        </w:tc>
      </w:tr>
      <w:tr>
        <w:tc>
          <w:tcPr>
            <w:tcW w:type="dxa" w:w="3312"/>
          </w:tcPr>
          <w:p>
            <w:r>
              <w:t>New Zealand</w:t>
            </w:r>
          </w:p>
        </w:tc>
        <w:tc>
          <w:tcPr>
            <w:tcW w:type="dxa" w:w="3312"/>
          </w:tcPr>
          <w:p>
            <w:r>
              <w:t>70</w:t>
            </w:r>
          </w:p>
        </w:tc>
        <w:tc>
          <w:tcPr>
            <w:tcW w:type="dxa" w:w="3312"/>
          </w:tcPr>
          <w:p>
            <w:r>
              <w:t>7%</w:t>
            </w:r>
          </w:p>
        </w:tc>
      </w:tr>
    </w:tbl>
    <w:p>
      <w:r>
        <w:t>This is a quota plan only, not evidence that leads have been found. It meets the 80% target-market rule, uses 7 countries and keeps each country below 60%.</w:t>
      </w:r>
    </w:p>
    <w:p>
      <w:pPr>
        <w:pStyle w:val="Heading1"/>
      </w:pPr>
      <w:r>
        <w:t>9. Day 1 acceptance checklist</w:t>
      </w:r>
    </w:p>
    <w:p>
      <w:pPr>
        <w:pStyle w:val="ListBullet"/>
      </w:pPr>
      <w:r>
        <w:t>Five observations documented with source links — complete for public website research.</w:t>
      </w:r>
    </w:p>
    <w:p>
      <w:pPr>
        <w:pStyle w:val="ListBullet"/>
      </w:pPr>
      <w:r>
        <w:t>Three growth opportunities with target signals and evidence requirements — complete.</w:t>
      </w:r>
    </w:p>
    <w:p>
      <w:pPr>
        <w:pStyle w:val="ListBullet"/>
      </w:pPr>
      <w:r>
        <w:t>Qualification rules converted into machine-readable config — complete.</w:t>
      </w:r>
    </w:p>
    <w:p>
      <w:pPr>
        <w:pStyle w:val="ListBullet"/>
      </w:pPr>
      <w:r>
        <w:t>Discovery/verification approach and risk constraints documented — complete.</w:t>
      </w:r>
    </w:p>
    <w:p>
      <w:pPr>
        <w:pStyle w:val="ListBullet"/>
      </w:pPr>
      <w:r>
        <w:t>Logged-in product use — not verified; do not claim complete without app access.</w:t>
      </w:r>
    </w:p>
    <w:p>
      <w:pPr>
        <w:pStyle w:val="ListBullet"/>
      </w:pPr>
      <w:r>
        <w:t>Exact workbook input columns — not inferred here; copy the exact headers from the provided assessment workbook before generating the final leads.csv.</w:t>
      </w:r>
    </w:p>
    <w:p>
      <w:pPr>
        <w:pStyle w:val="Heading1"/>
      </w:pPr>
      <w:r>
        <w:t>10. Sources</w:t>
      </w:r>
    </w:p>
    <w:p>
      <w:pPr>
        <w:pStyle w:val="ListBullet"/>
      </w:pPr>
      <w:r>
        <w:t>IncuBrix homepage: Product positioning, creator segments, feature availability language.</w:t>
        <w:br/>
        <w:t>https://incubrix.com/</w:t>
      </w:r>
    </w:p>
    <w:p>
      <w:pPr>
        <w:pStyle w:val="ListBullet"/>
      </w:pPr>
      <w:r>
        <w:t>IncuBrix About: Product narrative and target audiences.</w:t>
        <w:br/>
        <w:t>https://incubrix.com/about</w:t>
      </w:r>
    </w:p>
    <w:p>
      <w:pPr>
        <w:pStyle w:val="ListBullet"/>
      </w:pPr>
      <w:r>
        <w:t>IncuBrix How It Works: Workflow and roadmap/availability statements.</w:t>
        <w:br/>
        <w:t>https://incubrix.com/how-it-works</w:t>
      </w:r>
    </w:p>
    <w:p>
      <w:pPr>
        <w:pStyle w:val="ListBullet"/>
      </w:pPr>
      <w:r>
        <w:t>IncuBrix pricing: Pricing page; compare with FAQ before using price claims.</w:t>
        <w:br/>
        <w:t>https://incubrix.com/pricing</w:t>
      </w:r>
    </w:p>
    <w:p>
      <w:pPr>
        <w:pStyle w:val="ListBullet"/>
      </w:pPr>
      <w:r>
        <w:t>IncuBrix FAQ: FAQ; visible pricing inconsistencies and feature roadmap language.</w:t>
        <w:br/>
        <w:t>https://incubrix.com/faq</w:t>
      </w:r>
    </w:p>
    <w:p>
      <w:pPr>
        <w:pStyle w:val="ListBullet"/>
      </w:pPr>
      <w:r>
        <w:t>YouTube Data API overview: Official API access and quota overview.</w:t>
        <w:br/>
        <w:t>https://developers.google.com/youtube/data/getting-started</w:t>
      </w:r>
    </w:p>
    <w:p>
      <w:pPr>
        <w:pStyle w:val="ListBullet"/>
      </w:pPr>
      <w:r>
        <w:t>YouTube Data API search.list: Official search API and quota notes.</w:t>
        <w:br/>
        <w:t>https://developers.google.com/youtube/v3/docs/search/list</w:t>
      </w:r>
    </w:p>
    <w:p>
      <w:pPr>
        <w:pStyle w:val="ListBullet"/>
      </w:pPr>
      <w:r>
        <w:t>LinkedIn automated activity policy: Restrictions on scraping/automated activity.</w:t>
        <w:br/>
        <w:t>https://www.linkedin.com/help/linkedin/answer/a1340567/automated-activity-on-linkedin</w:t>
      </w:r>
    </w:p>
    <w:p>
      <w:pPr>
        <w:pStyle w:val="ListBullet"/>
      </w:pPr>
      <w:r>
        <w:t>UK ICO email direct marketing guidance: Scope of electronic direct marketing rules.</w:t>
        <w:br/>
        <w:t>https://ico.org.uk/for-organisations/direct-marketing-and-privacy-and-electronic-communications/guidance-on-direct-marketing-using-electronic-mail/key-concepts-for-direct-marketing-using-electronic-mail/</w:t>
      </w:r>
    </w:p>
    <w:p>
      <w:pPr>
        <w:pStyle w:val="ListBullet"/>
      </w:pPr>
      <w:r>
        <w:t>IAB 2025 Creator Economy Ad Spend &amp; Strategy Report: Market context: US creator ad spend projected at $37B in 2025.</w:t>
        <w:br/>
        <w:t>https://www.iab.com/insights/2025-creator-economy-ad-spend-strategy-report/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