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f4687245-9b8b-46b1-8d38-cfe54cbf1e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Problem Statement Documentation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SWTID-2026-5862</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Customer Problem Statement Analysis </w:t>
      </w:r>
    </w:p>
    <w:p>
      <w:pPr>
        <w:spacing w:before="120" w:after="120" w:line="336" w:lineRule="auto"/>
        <w:ind w:firstLine="0"/>
      </w:pPr>
      <w:r>
        <w:rPr>
          <w:rFonts w:ascii="Canva Sans" w:eastAsia="Canva Sans" w:cs="Canva Sans" w:hAnsi="Canva Sans"/>
          <w:color w:val="000000"/>
          <w:sz w:val="24"/>
          <w:szCs w:val="24"/>
        </w:rPr>
        <w:t xml:space="preserve">A customer problem statement helps understand the user's point of view while learning from a product. In the SpendWise project, our team of 5 members focused on addressing the needs of beginner backend students who want to learn Node.js, Express, MongoDB, and JWT authentication in a simple, structured way. Through collaborative research and user interviews, we identified key problems like confusion with overly complex projects and difficulty connecting fundamental concepts, ensuring our solution remains clear, useful, and educational. </w:t>
      </w:r>
    </w:p>
    <w:p>
      <w:pPr>
        <w:spacing w:before="120" w:after="120" w:line="336" w:lineRule="auto"/>
        <w:ind w:firstLine="0"/>
      </w:pPr>
      <w:r>
        <w:rPr>
          <w:rFonts w:ascii="Canva Sans Bold" w:eastAsia="Canva Sans Bold" w:cs="Canva Sans Bold" w:hAnsi="Canva Sans Bold"/>
          <w:b/>
          <w:bCs/>
          <w:color w:val="000000"/>
          <w:sz w:val="36"/>
          <w:szCs w:val="36"/>
        </w:rPr>
        <w:t xml:space="preserve">Team-Identified Problem Statements </w:t>
      </w:r>
    </w:p>
    <w:p>
      <w:pPr>
        <w:spacing w:before="120" w:after="120" w:line="336" w:lineRule="auto"/>
        <w:ind w:firstLine="0"/>
      </w:pPr>
      <w:r>
        <w:rPr>
          <w:rFonts w:ascii="Canva Sans" w:eastAsia="Canva Sans" w:cs="Canva Sans" w:hAnsi="Canva Sans"/>
          <w:color w:val="000000"/>
          <w:sz w:val="24"/>
          <w:szCs w:val="24"/>
        </w:rPr>
        <w:t xml:space="preserve">Our 5-member development team conducted extensive research to identify the following core problem statements: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315"/>
        <w:gridCol w:w="1348"/>
        <w:gridCol w:w="1663"/>
        <w:gridCol w:w="1552"/>
        <w:gridCol w:w="1599"/>
        <w:gridCol w:w="1552"/>
      </w:tblGrid>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Problem Statement (PS)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 am (Customer)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I'm trying to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But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Because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Which makes me feel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backend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 Node.js, Express, MongoDB, and JWT authentication through hands-on practice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learning projects are too large and complex with overwhelming features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They include many advanced functionalities that are hard to understand simultaneously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Confused and demotivated to continue learning</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college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Build a simple backend project for academic practice and assignment submission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find a clear example focused specifically on CRUD operations and authentication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Available tutorials often jump to advanced topics without properly explaining fundamental concepts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Unsure about my understanding and academic performance</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developer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Successfully connect JWT authentication with MongoDB and create secure APIs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keep encountering errors in token generation, validation, or database connections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 flow between user login, token creation, and protected route access is not clearly explained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Frustrated and stuck in my learning progress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student preparing for technical interviews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Confidently explain CRUD operations and JWT authentication using a practical project example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have access to a simple, end-to-end backend demonstration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available projects are either too basic (lacking real-world features) or too advanced (overwhelming complexity)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Nervous and underprepared for technical discussions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self-taught programmer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a portfolio-worthy backend project that demonstrates core skills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struggle to find projects that balance simplicity with professional relevance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Learning resources either oversimplify concepts or assume advanced knowledge without proper foundation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Uncertain about my skill level and career readiness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Team Solution Approach </w:t>
      </w:r>
    </w:p>
    <w:p>
      <w:pPr>
        <w:spacing w:before="120" w:after="120" w:line="336" w:lineRule="auto"/>
        <w:ind w:firstLine="0"/>
      </w:pPr>
      <w:r>
        <w:rPr>
          <w:rFonts w:ascii="Canva Sans" w:eastAsia="Canva Sans" w:cs="Canva Sans" w:hAnsi="Canva Sans"/>
          <w:color w:val="000000"/>
          <w:sz w:val="24"/>
          <w:szCs w:val="24"/>
        </w:rPr>
        <w:t xml:space="preserve">Based on these identified problem statements, our 5-member team designed SpendWise as a </w:t>
      </w:r>
      <w:r>
        <w:rPr>
          <w:rFonts w:ascii="Canva Sans Bold" w:eastAsia="Canva Sans Bold" w:cs="Canva Sans Bold" w:hAnsi="Canva Sans Bold"/>
          <w:b/>
          <w:bCs/>
          <w:color w:val="000000"/>
          <w:sz w:val="24"/>
          <w:szCs w:val="24"/>
        </w:rPr>
        <w:t>simple expense tracking backend</w:t>
      </w:r>
      <w:r>
        <w:rPr>
          <w:rFonts w:ascii="Canva Sans" w:eastAsia="Canva Sans" w:cs="Canva Sans" w:hAnsi="Canva Sans"/>
          <w:color w:val="000000"/>
          <w:sz w:val="24"/>
          <w:szCs w:val="24"/>
        </w:rPr>
        <w:t xml:space="preserve"> that addresses each concern: </w:t>
      </w:r>
    </w:p>
    <w:p>
      <w:pPr>
        <w:numPr>
          <w:ilvl w:val="0"/>
          <w:numId w:val="1"/>
        </w:numPr>
        <w:spacing w:before="0" w:after="0" w:line="336" w:lineRule="auto"/>
      </w:pPr>
      <w:r>
        <w:rPr>
          <w:rFonts w:ascii="Canva Sans Bold" w:eastAsia="Canva Sans Bold" w:cs="Canva Sans Bold" w:hAnsi="Canva Sans Bold"/>
          <w:b/>
          <w:bCs/>
          <w:color w:val="000000"/>
          <w:sz w:val="24"/>
          <w:szCs w:val="24"/>
        </w:rPr>
        <w:t>Clear Learning Path:</w:t>
      </w:r>
      <w:r>
        <w:rPr>
          <w:rFonts w:ascii="Canva Sans" w:eastAsia="Canva Sans" w:cs="Canva Sans" w:hAnsi="Canva Sans"/>
          <w:color w:val="000000"/>
          <w:sz w:val="24"/>
          <w:szCs w:val="24"/>
        </w:rPr>
        <w:t xml:space="preserve"> Step-by-step implementation focusing on one concept at a time </w:t>
      </w:r>
    </w:p>
    <w:p>
      <w:pPr>
        <w:numPr>
          <w:ilvl w:val="0"/>
          <w:numId w:val="1"/>
        </w:numPr>
        <w:spacing w:before="0" w:after="0" w:line="336" w:lineRule="auto"/>
      </w:pPr>
      <w:r>
        <w:rPr>
          <w:rFonts w:ascii="Canva Sans Bold" w:eastAsia="Canva Sans Bold" w:cs="Canva Sans Bold" w:hAnsi="Canva Sans Bold"/>
          <w:b/>
          <w:bCs/>
          <w:color w:val="000000"/>
          <w:sz w:val="24"/>
          <w:szCs w:val="24"/>
        </w:rPr>
        <w:t>Practical Application:</w:t>
      </w:r>
      <w:r>
        <w:rPr>
          <w:rFonts w:ascii="Canva Sans" w:eastAsia="Canva Sans" w:cs="Canva Sans" w:hAnsi="Canva Sans"/>
          <w:color w:val="000000"/>
          <w:sz w:val="24"/>
          <w:szCs w:val="24"/>
        </w:rPr>
        <w:t xml:space="preserve"> Real-world expense tracking scenario that students can relate to </w:t>
      </w:r>
    </w:p>
    <w:p>
      <w:pPr>
        <w:numPr>
          <w:ilvl w:val="0"/>
          <w:numId w:val="1"/>
        </w:numPr>
        <w:spacing w:before="0" w:after="0" w:line="336" w:lineRule="auto"/>
      </w:pPr>
      <w:r>
        <w:rPr>
          <w:rFonts w:ascii="Canva Sans Bold" w:eastAsia="Canva Sans Bold" w:cs="Canva Sans Bold" w:hAnsi="Canva Sans Bold"/>
          <w:b/>
          <w:bCs/>
          <w:color w:val="000000"/>
          <w:sz w:val="24"/>
          <w:szCs w:val="24"/>
        </w:rPr>
        <w:t>Comprehensive Documentation:</w:t>
      </w:r>
      <w:r>
        <w:rPr>
          <w:rFonts w:ascii="Canva Sans" w:eastAsia="Canva Sans" w:cs="Canva Sans" w:hAnsi="Canva Sans"/>
          <w:color w:val="000000"/>
          <w:sz w:val="24"/>
          <w:szCs w:val="24"/>
        </w:rPr>
        <w:t xml:space="preserve"> Detailed explanations of each component and their interactions </w:t>
      </w:r>
    </w:p>
    <w:p>
      <w:pPr>
        <w:numPr>
          <w:ilvl w:val="0"/>
          <w:numId w:val="1"/>
        </w:numPr>
        <w:spacing w:before="0" w:after="0" w:line="336" w:lineRule="auto"/>
      </w:pPr>
      <w:r>
        <w:rPr>
          <w:rFonts w:ascii="Canva Sans Bold" w:eastAsia="Canva Sans Bold" w:cs="Canva Sans Bold" w:hAnsi="Canva Sans Bold"/>
          <w:b/>
          <w:bCs/>
          <w:color w:val="000000"/>
          <w:sz w:val="24"/>
          <w:szCs w:val="24"/>
        </w:rPr>
        <w:t>Scalable Complexity:</w:t>
      </w:r>
      <w:r>
        <w:rPr>
          <w:rFonts w:ascii="Canva Sans" w:eastAsia="Canva Sans" w:cs="Canva Sans" w:hAnsi="Canva Sans"/>
          <w:color w:val="000000"/>
          <w:sz w:val="24"/>
          <w:szCs w:val="24"/>
        </w:rPr>
        <w:t xml:space="preserve"> Basic version with optional advanced features for progressive learning </w:t>
      </w:r>
    </w:p>
    <w:p>
      <w:pPr>
        <w:numPr>
          <w:ilvl w:val="0"/>
          <w:numId w:val="1"/>
        </w:numPr>
        <w:spacing w:before="0" w:after="0" w:line="336" w:lineRule="auto"/>
      </w:pPr>
      <w:r>
        <w:rPr>
          <w:rFonts w:ascii="Canva Sans Bold" w:eastAsia="Canva Sans Bold" w:cs="Canva Sans Bold" w:hAnsi="Canva Sans Bold"/>
          <w:b/>
          <w:bCs/>
          <w:color w:val="000000"/>
          <w:sz w:val="24"/>
          <w:szCs w:val="24"/>
        </w:rPr>
        <w:t>Interview-Ready:</w:t>
      </w:r>
      <w:r>
        <w:rPr>
          <w:rFonts w:ascii="Canva Sans" w:eastAsia="Canva Sans" w:cs="Canva Sans" w:hAnsi="Canva Sans"/>
          <w:color w:val="000000"/>
          <w:sz w:val="24"/>
          <w:szCs w:val="24"/>
        </w:rPr>
        <w:t xml:space="preserve"> Complete project suitable for technical discussions and demonstrations </w:t>
      </w:r>
    </w:p>
    <w:p>
      <w:pPr>
        <w:spacing w:before="120" w:after="120" w:line="336" w:lineRule="auto"/>
        <w:ind w:firstLine="0"/>
      </w:pPr>
      <w:r>
        <w:rPr>
          <w:rFonts w:ascii="Canva Sans Bold" w:eastAsia="Canva Sans Bold" w:cs="Canva Sans Bold" w:hAnsi="Canva Sans Bold"/>
          <w:b/>
          <w:bCs/>
          <w:color w:val="000000"/>
          <w:sz w:val="36"/>
          <w:szCs w:val="36"/>
        </w:rPr>
        <w:t xml:space="preserve">Target Audience Impact </w:t>
      </w:r>
    </w:p>
    <w:p>
      <w:pPr>
        <w:spacing w:before="120" w:after="120" w:line="336" w:lineRule="auto"/>
        <w:ind w:firstLine="0"/>
      </w:pPr>
      <w:r>
        <w:rPr>
          <w:rFonts w:ascii="Canva Sans" w:eastAsia="Canva Sans" w:cs="Canva Sans" w:hAnsi="Canva Sans"/>
          <w:color w:val="000000"/>
          <w:sz w:val="24"/>
          <w:szCs w:val="24"/>
        </w:rPr>
        <w:t xml:space="preserve">Through our collaborative analysis, we determined that SpendWise serves multiple user personas while maintaining educational focus and practical applicability for backend development learning.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480</Words>
  <Characters>3048</Characters>
  <Lines>225</Lines>
  <Paragraphs>52</Paragraphs>
  <CharactersWithSpaces>3528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2026-03-09T03:59:41Z</dcterms:modified>
</cp:coreProperties>
</file>