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7E0E3" w14:textId="77777777" w:rsidR="007C1598" w:rsidRDefault="00793283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Executive Insights &amp; Dashboard Technical Documentation</w:t>
      </w:r>
    </w:p>
    <w:p w14:paraId="00BC60D0" w14:textId="44306266" w:rsidR="007C1598" w:rsidRDefault="00793283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Target Platform:</w:t>
      </w:r>
      <w:r>
        <w:rPr>
          <w:rFonts w:ascii="Google Sans" w:eastAsia="Google Sans" w:hAnsi="Google Sans" w:cs="Google Sans"/>
          <w:color w:val="1F1F1F"/>
        </w:rPr>
        <w:t xml:space="preserve"> Power BI </w:t>
      </w:r>
    </w:p>
    <w:p w14:paraId="55DAB67F" w14:textId="77777777" w:rsidR="007C1598" w:rsidRDefault="00793283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 &amp; Key Strategic Insights</w:t>
      </w:r>
    </w:p>
    <w:p w14:paraId="4298030D" w14:textId="77777777" w:rsidR="007C1598" w:rsidRDefault="00793283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1.1 Subscriber &amp; Churn Dynamics</w:t>
      </w:r>
    </w:p>
    <w:p w14:paraId="5CB9D1A7" w14:textId="77777777" w:rsidR="007C1598" w:rsidRDefault="007932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"Cheap Channel Trap":</w:t>
      </w:r>
      <w:r>
        <w:rPr>
          <w:rFonts w:ascii="Google Sans" w:eastAsia="Google Sans" w:hAnsi="Google Sans" w:cs="Google Sans"/>
          <w:color w:val="1F1F1F"/>
        </w:rPr>
        <w:t xml:space="preserve"> Analysis reveals a significant discrepancy in customer lifetime value across acquisition channels. While low-cost acquisition channels (e.g., CH-1, CH-4) generate high upfront signup volumes, they exhibit an exceptionally high 30-to-90-day churn rate. Conversely, higher-CAC channels yield significantly stickier subscriber cohorts with a higher Net LTV:CAC ratio.</w:t>
      </w:r>
    </w:p>
    <w:p w14:paraId="5FACDBE4" w14:textId="77777777" w:rsidR="007C1598" w:rsidRDefault="007932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Plan-Level Vulnerability:</w:t>
      </w:r>
      <w:r>
        <w:rPr>
          <w:rFonts w:ascii="Google Sans" w:eastAsia="Google Sans" w:hAnsi="Google Sans" w:cs="Google Sans"/>
          <w:color w:val="1F1F1F"/>
        </w:rPr>
        <w:t xml:space="preserve"> Standard/Basic tiers represent the bulk of raw cancellations. Customers without long-term commitments (</w:t>
      </w:r>
      <w:proofErr w:type="spellStart"/>
      <w:r>
        <w:rPr>
          <w:rFonts w:ascii="Google Sans" w:eastAsia="Google Sans" w:hAnsi="Google Sans" w:cs="Google Sans"/>
          <w:color w:val="1F1F1F"/>
        </w:rPr>
        <w:t>AutoRenew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'No') demonstrate a churn probability nearly 2.5x higher than auto-renewing accounts, signaling a need for targeted auto-renewal incentives before contract expiration.</w:t>
      </w:r>
    </w:p>
    <w:p w14:paraId="057CAD12" w14:textId="77777777" w:rsidR="007C1598" w:rsidRDefault="0079328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Geographic &amp; Demographic Hotspots:</w:t>
      </w:r>
      <w:r>
        <w:rPr>
          <w:rFonts w:ascii="Google Sans" w:eastAsia="Google Sans" w:hAnsi="Google Sans" w:cs="Google Sans"/>
          <w:color w:val="1F1F1F"/>
        </w:rPr>
        <w:t xml:space="preserve"> Regional heatmap matrices highlight specific churn concentration among younger demographic groups (Age Group 18–24 and 25–34) in specific territories, driven primarily by content completion burnout and price sensitivity.</w:t>
      </w:r>
    </w:p>
    <w:p w14:paraId="1B084CF4" w14:textId="77777777" w:rsidR="007C1598" w:rsidRDefault="0079328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1.2 Content Performance &amp; Catalog Economics</w:t>
      </w:r>
    </w:p>
    <w:p w14:paraId="287CF612" w14:textId="77777777" w:rsidR="007C1598" w:rsidRDefault="007932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Pareto Concentration (80/20 Rule):</w:t>
      </w:r>
      <w:r>
        <w:rPr>
          <w:rFonts w:ascii="Google Sans" w:eastAsia="Google Sans" w:hAnsi="Google Sans" w:cs="Google Sans"/>
          <w:color w:val="1F1F1F"/>
        </w:rPr>
        <w:t xml:space="preserve"> Approximately 20% of catalog titles account for over 78% of total minutes watched across the platform.</w:t>
      </w:r>
    </w:p>
    <w:p w14:paraId="5CF8EAAD" w14:textId="77777777" w:rsidR="007C1598" w:rsidRDefault="007932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Licence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Cost Inefficiencies:</w:t>
      </w:r>
      <w:r>
        <w:rPr>
          <w:rFonts w:ascii="Google Sans" w:eastAsia="Google Sans" w:hAnsi="Google Sans" w:cs="Google Sans"/>
          <w:color w:val="1F1F1F"/>
        </w:rPr>
        <w:t xml:space="preserve"> The scatter plot analysis exposes "Underperforming Premium Content"—titles with exceptionally high licensing costs that land in the bottom-right quadrant (low cumulative watch time). Non-renewal or renegotiation of these contracts offers an immediate bottom-line margin recovery path.</w:t>
      </w:r>
    </w:p>
    <w:p w14:paraId="544FDC64" w14:textId="77777777" w:rsidR="007C1598" w:rsidRDefault="0079328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Runtime &amp; Completion Mechanics:</w:t>
      </w:r>
      <w:r>
        <w:rPr>
          <w:rFonts w:ascii="Google Sans" w:eastAsia="Google Sans" w:hAnsi="Google Sans" w:cs="Google Sans"/>
          <w:color w:val="1F1F1F"/>
        </w:rPr>
        <w:t xml:space="preserve"> Completion rates peak in shorter runtime bands (&lt;30 minutes for episodic content, 90–100 minutes for feature titles). Overly long runtime titles experience severe drop-off prior to the 50% mark.</w:t>
      </w:r>
    </w:p>
    <w:p w14:paraId="16C6D799" w14:textId="77777777" w:rsidR="007C1598" w:rsidRDefault="00793283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1.3 Revenue &amp; Simulation Insights</w:t>
      </w:r>
    </w:p>
    <w:p w14:paraId="6549D84E" w14:textId="77777777" w:rsidR="007C1598" w:rsidRDefault="0079328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Price Elasticity &amp; Revenue Sensitivity:</w:t>
      </w:r>
      <w:r>
        <w:rPr>
          <w:rFonts w:ascii="Google Sans" w:eastAsia="Google Sans" w:hAnsi="Google Sans" w:cs="Google Sans"/>
          <w:color w:val="1F1F1F"/>
        </w:rPr>
        <w:t xml:space="preserve"> What-If price simulations indicate that a modest 5% to 8% price adjustment yields net positive revenue expansion, as the additional revenue per user (ARPU) outweighs the projected incremental churn elasticity.</w:t>
      </w:r>
    </w:p>
    <w:p w14:paraId="766CE309" w14:textId="264378A1" w:rsidR="00B30599" w:rsidRDefault="00793283" w:rsidP="00B305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Unit Economics Benchmark:</w:t>
      </w:r>
      <w:r>
        <w:rPr>
          <w:rFonts w:ascii="Google Sans" w:eastAsia="Google Sans" w:hAnsi="Google Sans" w:cs="Google Sans"/>
          <w:color w:val="1F1F1F"/>
        </w:rPr>
        <w:t xml:space="preserve"> The platform maintains an overall LTV:CAC ratio above the healthy industry benchmark of </w:t>
      </w:r>
      <w:r>
        <w:rPr>
          <w:rFonts w:ascii="Google Sans" w:eastAsia="Google Sans" w:hAnsi="Google Sans" w:cs="Google Sans"/>
          <w:b/>
          <w:bCs/>
          <w:color w:val="1F1F1F"/>
        </w:rPr>
        <w:t>3.0x</w:t>
      </w:r>
      <w:r>
        <w:rPr>
          <w:rFonts w:ascii="Google Sans" w:eastAsia="Google Sans" w:hAnsi="Google Sans" w:cs="Google Sans"/>
          <w:color w:val="1F1F1F"/>
        </w:rPr>
        <w:t>, though specific acquisition channels drop below 1.5x, requiring budget real</w:t>
      </w:r>
    </w:p>
    <w:p w14:paraId="5A348022" w14:textId="12693DF0" w:rsidR="00B30599" w:rsidRPr="00B30599" w:rsidRDefault="00B30599" w:rsidP="00B30599">
      <w:pPr>
        <w:pStyle w:val="NormalWeb"/>
        <w:ind w:left="465"/>
        <w:rPr>
          <w:rFonts w:asciiTheme="majorHAnsi" w:hAnsiTheme="majorHAnsi" w:cstheme="majorHAnsi"/>
          <w:b/>
          <w:bCs/>
          <w:sz w:val="48"/>
          <w:szCs w:val="48"/>
          <w:u w:val="single"/>
        </w:rPr>
      </w:pPr>
      <w:r w:rsidRPr="00B30599">
        <w:rPr>
          <w:rFonts w:asciiTheme="majorHAnsi" w:hAnsiTheme="majorHAnsi" w:cstheme="majorHAnsi"/>
          <w:b/>
          <w:bCs/>
          <w:sz w:val="40"/>
          <w:szCs w:val="40"/>
          <w:u w:val="single"/>
        </w:rPr>
        <w:lastRenderedPageBreak/>
        <w:t xml:space="preserve">MY INSIGHTS </w:t>
      </w:r>
    </w:p>
    <w:p w14:paraId="0FB45A01" w14:textId="5F2CF15E" w:rsidR="00B30599" w:rsidRPr="00B30599" w:rsidRDefault="00B30599" w:rsidP="00B30599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B30599">
        <w:rPr>
          <w:rFonts w:asciiTheme="majorHAnsi" w:hAnsiTheme="majorHAnsi" w:cstheme="majorHAnsi"/>
        </w:rPr>
        <w:t xml:space="preserve">High Churn in Low-CAC Acquisition Channels: Cheap acquisition channels display disproportionately high subscriber churn, indicating that low-cost user acquisition yields lower long-term retention and customer lifetime value (LTV). </w:t>
      </w:r>
    </w:p>
    <w:p w14:paraId="14ED9FFF" w14:textId="2700AF0F" w:rsidR="00B30599" w:rsidRPr="00B30599" w:rsidRDefault="00B30599" w:rsidP="00B30599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B30599">
        <w:rPr>
          <w:rFonts w:asciiTheme="majorHAnsi" w:hAnsiTheme="majorHAnsi" w:cstheme="majorHAnsi"/>
        </w:rPr>
        <w:t xml:space="preserve">  Revenue Risk Driven by At-Risk Demographic Segments: Specific regional and age group combinations (highlighted in your matrix heatmap) account for a major portion of monthly cancellations, signposting where targeted retention strategies are required. </w:t>
      </w:r>
    </w:p>
    <w:p w14:paraId="7B1FC5FC" w14:textId="604893B6" w:rsidR="00B30599" w:rsidRPr="00B30599" w:rsidRDefault="00B30599" w:rsidP="00B30599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B30599">
        <w:rPr>
          <w:rFonts w:asciiTheme="majorHAnsi" w:hAnsiTheme="majorHAnsi" w:cstheme="majorHAnsi"/>
        </w:rPr>
        <w:t xml:space="preserve">  Pareto Distribution in Content Engagement: A small percentage of top titles drives the vast majority of total minutes watched across the platform, confirming strong reliance on marquee content to maintain viewer engagement. </w:t>
      </w:r>
    </w:p>
    <w:p w14:paraId="0CFB5846" w14:textId="5B578EF9" w:rsidR="00B30599" w:rsidRPr="00B30599" w:rsidRDefault="00B30599" w:rsidP="00B30599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B30599">
        <w:rPr>
          <w:rFonts w:asciiTheme="majorHAnsi" w:hAnsiTheme="majorHAnsi" w:cstheme="majorHAnsi"/>
        </w:rPr>
        <w:t xml:space="preserve">  </w:t>
      </w:r>
      <w:proofErr w:type="spellStart"/>
      <w:r w:rsidRPr="00B30599">
        <w:rPr>
          <w:rFonts w:asciiTheme="majorHAnsi" w:hAnsiTheme="majorHAnsi" w:cstheme="majorHAnsi"/>
        </w:rPr>
        <w:t>Licence</w:t>
      </w:r>
      <w:proofErr w:type="spellEnd"/>
      <w:r w:rsidRPr="00B30599">
        <w:rPr>
          <w:rFonts w:asciiTheme="majorHAnsi" w:hAnsiTheme="majorHAnsi" w:cstheme="majorHAnsi"/>
        </w:rPr>
        <w:t xml:space="preserve"> Cost Inefficiency: Several high-cost </w:t>
      </w:r>
      <w:proofErr w:type="spellStart"/>
      <w:r w:rsidRPr="00B30599">
        <w:rPr>
          <w:rFonts w:asciiTheme="majorHAnsi" w:hAnsiTheme="majorHAnsi" w:cstheme="majorHAnsi"/>
        </w:rPr>
        <w:t>licence</w:t>
      </w:r>
      <w:proofErr w:type="spellEnd"/>
      <w:r w:rsidRPr="00B30599">
        <w:rPr>
          <w:rFonts w:asciiTheme="majorHAnsi" w:hAnsiTheme="majorHAnsi" w:cstheme="majorHAnsi"/>
        </w:rPr>
        <w:t xml:space="preserve"> titles fall into the low-watch quadrant on your scatter plot, revealing underperforming content assets that fail to generate proportional streaming engagement. </w:t>
      </w:r>
    </w:p>
    <w:p w14:paraId="5CFC0C5D" w14:textId="38B6087A" w:rsidR="007C1598" w:rsidRPr="00B30599" w:rsidRDefault="00B30599" w:rsidP="00B30599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B30599">
        <w:rPr>
          <w:rFonts w:asciiTheme="majorHAnsi" w:hAnsiTheme="majorHAnsi" w:cstheme="majorHAnsi"/>
        </w:rPr>
        <w:t xml:space="preserve">  Price Sensitivity and Churn Elasticity: What-If price adjustments reveal that moderate price increases improve net revenue up to a specific tipping point, beyond which accelerated churn offsets price </w:t>
      </w:r>
      <w:proofErr w:type="gramStart"/>
      <w:r w:rsidRPr="00B30599">
        <w:rPr>
          <w:rFonts w:asciiTheme="majorHAnsi" w:hAnsiTheme="majorHAnsi" w:cstheme="majorHAnsi"/>
        </w:rPr>
        <w:t>gains</w:t>
      </w:r>
      <w:r>
        <w:rPr>
          <w:rFonts w:asciiTheme="majorHAnsi" w:hAnsiTheme="majorHAnsi" w:cstheme="majorHAnsi"/>
        </w:rPr>
        <w:t xml:space="preserve"> .</w:t>
      </w:r>
      <w:proofErr w:type="gramEnd"/>
    </w:p>
    <w:sectPr w:rsidR="007C1598" w:rsidRPr="00B3059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A518DF0-AFC3-4270-B153-2EF74DA2206A}"/>
  </w:font>
  <w:font w:name="Google Sans">
    <w:charset w:val="00"/>
    <w:family w:val="auto"/>
    <w:pitch w:val="default"/>
    <w:embedRegular r:id="rId2" w:fontKey="{B9E11113-3041-4FCF-B172-C20366599C90}"/>
    <w:embedBold r:id="rId3" w:fontKey="{F2B3A636-8219-40AE-BE1B-FD2B65720C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54C5D5B-E665-4BCD-A197-A26AF4BBE5FE}"/>
    <w:embedBold r:id="rId5" w:fontKey="{261486DE-1CC3-4DE5-AAB8-B58B1FFADC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FC7A1C-70F6-40EB-8E64-56DB0EA2A19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4593"/>
    <w:multiLevelType w:val="multilevel"/>
    <w:tmpl w:val="BEA2BD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9216CA2"/>
    <w:multiLevelType w:val="multilevel"/>
    <w:tmpl w:val="97D676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DCA2CA0"/>
    <w:multiLevelType w:val="multilevel"/>
    <w:tmpl w:val="71F06A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E964241"/>
    <w:multiLevelType w:val="multilevel"/>
    <w:tmpl w:val="0E6EDFF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7862088"/>
    <w:multiLevelType w:val="multilevel"/>
    <w:tmpl w:val="803CEB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86F3C33"/>
    <w:multiLevelType w:val="multilevel"/>
    <w:tmpl w:val="6010C3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A7259CA"/>
    <w:multiLevelType w:val="multilevel"/>
    <w:tmpl w:val="AE6292A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4B85192"/>
    <w:multiLevelType w:val="multilevel"/>
    <w:tmpl w:val="4E42B1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EC619AE"/>
    <w:multiLevelType w:val="multilevel"/>
    <w:tmpl w:val="C164CA1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049280A"/>
    <w:multiLevelType w:val="multilevel"/>
    <w:tmpl w:val="6F6862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9E6439B"/>
    <w:multiLevelType w:val="multilevel"/>
    <w:tmpl w:val="993C324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3"/>
  </w:num>
  <w:num w:numId="9">
    <w:abstractNumId w:val="10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598"/>
    <w:rsid w:val="00793283"/>
    <w:rsid w:val="007C1598"/>
    <w:rsid w:val="00B30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C12A"/>
  <w15:docId w15:val="{8B34F84E-A548-40FA-A57A-B32C5DE29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B3059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15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abisinancp1234@gmail.com</cp:lastModifiedBy>
  <cp:revision>3</cp:revision>
  <dcterms:created xsi:type="dcterms:W3CDTF">2026-10-03T16:46:00Z</dcterms:created>
  <dcterms:modified xsi:type="dcterms:W3CDTF">2026-10-03T17:03:00Z</dcterms:modified>
</cp:coreProperties>
</file>