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Online Retail Performance &amp; Customer Analytics Report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provides a analysis of the e-commerce sales dataset and corresponding dashboard visualizations. The dataset tracks international sales operations across multiple key performance metrics, including transaction volume, revenue generation over time, geographical demand distribution, and customer-level spending.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Dashboard Visualizations &amp; Insights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Geographic Distribution (Count of Quantity Cleaned by Country)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Visualization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World Map / Bubble Chart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Observations: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Market: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Western Europe exhibits the highest density of transaction volume and quantity ordered, with significant concentration in countries like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United Kingdom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Netherlands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EIRE (Ireland)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Germany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Reach: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Secondary markets with active order fulfillments include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North America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(USA, Canada),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Asia-Pacific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(Australia, Japan, Singapore, Hong Kong),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Middle East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(UAE, Saudi Arabia).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Takeaway: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international sales span across continents, the European corridor remains the core driver of operational volume.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Temporal Revenue Growth (Total Revenue by Year)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Visualization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Area / Line Trend Chart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Observations: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Growth Velocity: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Demonstrates a upward revenue trajectory moving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Total cumulative revenue surged from under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end of 2010 to approaching approximately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8M–9M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near the conclusion of 2011.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Takeaway: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Reflects business expansion, increased market adoption, or extended data capture over the 12-month operational cycle.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Country-Level Revenue &amp; Volume Comparison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Visualization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Clustered Horizontal Bar Chart (Total Revenue vs. Sum of Quantity)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Performing Regions (Excluding UK):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Netherlands: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market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285K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total revenue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200K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units ordered.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EIRE (Ireland):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Second largest market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283K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total revenue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143K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units ordered.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Germany: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volume and revenue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222K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117K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units).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187K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110K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Australia: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Top non-European market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137K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84K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Additional Markets: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Switzerland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68K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revenue), Spain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55K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revenue), Belgium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41K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revenue), Sweden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37K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revenue), and Japan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35K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Takeaway: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Higher order quantities directly correlate with overall revenue across top countries, with Netherlands and EIRE yielding the highest average revenue per unit sold.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Top Customer Contribution (Total Revenue by CustomerID)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Visualization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Vertical Bar Chart (Top 10 Customers)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Contributors: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CustomerID 14646: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Leading contributor generating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279K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total revenue.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CustomerID 18102: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Second largest contributor generating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256K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CustomerID 17450: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Third contributor generating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187K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Other Top Accounts: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14911 (133K), 12415 (124K), 14156 (113K), 17511 (88K), 16684 (66K), 13694 (63K), and 15311 (59K).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Takeaway: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 distribution indicates a strong reliance on high-value B2B or wholesale accounts (e.g., Customer 14646 and 18102), underscoring the importance of targeted Key Account Management (KAM) strategies.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Recommendations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 Regional Marketing: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Allocate promotional budgets toward Netherlands, EIRE, Germany, and France to maximize high-converting European traffic.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Account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dedicated support and loyalty incentives for the top 5 Customer IDs, as they drive a significant portion of overall profitability.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Inventory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Align stock forecasting with seasonal peaks indicated in the 2011 revenue growth trajectory to prevent fulfillment bottlenecks.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