
<file path=[Content_Types].xml><?xml version="1.0" encoding="utf-8"?>
<Types xmlns="http://schemas.openxmlformats.org/package/2006/content-types">
  <Default Extension="xml" ContentType="application/xml"/>
  <Default Extension="jpeg" ContentType="image/jpeg"/>
  <Default Extension="wmf" ContentType="image/x-wmf"/>
  <Default Extension="bin" ContentType="application/vnd.openxmlformats-officedocument.oleObject"/>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5848D" w14:textId="2829BF6B" w:rsidR="00820FD1" w:rsidRPr="006C2C0F" w:rsidRDefault="00050B51" w:rsidP="00B637BC">
      <w:pPr>
        <w:pStyle w:val="article-info"/>
      </w:pPr>
      <w:r w:rsidRPr="00B637BC">
        <w:rPr>
          <w:i/>
        </w:rPr>
        <w:t>Bioinformatics</w:t>
      </w:r>
      <w:r w:rsidRPr="006C2C0F">
        <w:t xml:space="preserve">, </w:t>
      </w:r>
      <w:r w:rsidR="00251E6C">
        <w:t>2016</w:t>
      </w:r>
      <w:r w:rsidRPr="006C2C0F">
        <w:t>,</w:t>
      </w:r>
      <w:r w:rsidR="00A818B3" w:rsidRPr="006C2C0F">
        <w:t xml:space="preserve"> 0</w:t>
      </w:r>
      <w:r w:rsidRPr="006C2C0F">
        <w:t>–</w:t>
      </w:r>
      <w:r w:rsidR="00A818B3" w:rsidRPr="006C2C0F">
        <w:t>0</w:t>
      </w:r>
    </w:p>
    <w:p w14:paraId="572ADAFB" w14:textId="77777777"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14:paraId="221FAD25" w14:textId="77777777" w:rsidR="005E41BA" w:rsidRPr="006C2C0F" w:rsidRDefault="005E41BA" w:rsidP="00B637BC">
      <w:pPr>
        <w:pStyle w:val="article-info"/>
      </w:pPr>
      <w:r w:rsidRPr="006C2C0F">
        <w:t>Advance Access Publication Date: DD Month YYYY</w:t>
      </w:r>
    </w:p>
    <w:p w14:paraId="344235BD" w14:textId="77777777" w:rsidR="006C2C0F" w:rsidRPr="006C2C0F" w:rsidRDefault="006C2C0F" w:rsidP="00B637BC">
      <w:pPr>
        <w:pStyle w:val="article-info"/>
      </w:pPr>
      <w:r w:rsidRPr="006C2C0F">
        <w:t xml:space="preserve">Manuscript </w:t>
      </w:r>
      <w:r w:rsidR="003A4127">
        <w:t>Category</w:t>
      </w:r>
    </w:p>
    <w:p w14:paraId="6B147092"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5DE4F14C" w14:textId="77777777" w:rsidTr="00F137B5">
        <w:tc>
          <w:tcPr>
            <w:tcW w:w="8320" w:type="dxa"/>
          </w:tcPr>
          <w:p w14:paraId="0A2F73E0" w14:textId="1F489AE4" w:rsidR="00CC64E3" w:rsidRPr="00F362A7" w:rsidRDefault="00251E6C" w:rsidP="00435193">
            <w:pPr>
              <w:pStyle w:val="Subtitle"/>
            </w:pPr>
            <w:r w:rsidRPr="00251E6C">
              <w:t>Genome Analysis</w:t>
            </w:r>
          </w:p>
          <w:p w14:paraId="597CFBF7" w14:textId="10381E20" w:rsidR="00CC64E3" w:rsidRPr="00F362A7" w:rsidRDefault="00251E6C" w:rsidP="00435193">
            <w:pPr>
              <w:pStyle w:val="Title"/>
            </w:pPr>
            <w:r>
              <w:t>Omega 3: First Parallel OLC Metagenome Assembler</w:t>
            </w:r>
          </w:p>
          <w:p w14:paraId="2ADB1749" w14:textId="77777777" w:rsidR="00CC64E3" w:rsidRPr="00F362A7" w:rsidRDefault="00CC64E3" w:rsidP="00513FFC">
            <w:pPr>
              <w:pStyle w:val="Author-Group"/>
            </w:pPr>
            <w:r w:rsidRPr="00F362A7">
              <w:t>Co</w:t>
            </w:r>
            <w:r w:rsidR="00801742">
              <w:t>r</w:t>
            </w:r>
            <w:r w:rsidRPr="00F362A7">
              <w:t>responding Author</w:t>
            </w:r>
            <w:proofErr w:type="gramStart"/>
            <w:r w:rsidRPr="00F362A7">
              <w:rPr>
                <w:vertAlign w:val="superscript"/>
              </w:rPr>
              <w:t>1,</w:t>
            </w:r>
            <w:r w:rsidRPr="00F362A7">
              <w:rPr>
                <w:rFonts w:ascii="Times New Roman" w:hAnsi="Times New Roman"/>
                <w:vertAlign w:val="superscript"/>
              </w:rPr>
              <w:t>*</w:t>
            </w:r>
            <w:proofErr w:type="gramEnd"/>
            <w:r w:rsidRPr="00F362A7">
              <w:t>, Co-author</w:t>
            </w:r>
            <w:r w:rsidRPr="00F362A7">
              <w:rPr>
                <w:vertAlign w:val="superscript"/>
              </w:rPr>
              <w:t>2</w:t>
            </w:r>
            <w:r w:rsidRPr="00F362A7">
              <w:t xml:space="preserve"> and Co-Author</w:t>
            </w:r>
            <w:r w:rsidRPr="00F362A7">
              <w:rPr>
                <w:vertAlign w:val="superscript"/>
              </w:rPr>
              <w:t>2</w:t>
            </w:r>
          </w:p>
          <w:p w14:paraId="32191C38"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085C5BE0" w14:textId="77777777" w:rsidR="00CC64E3" w:rsidRPr="00D65C51" w:rsidRDefault="00CC64E3" w:rsidP="002F4CA8">
            <w:pPr>
              <w:pStyle w:val="corrs-au"/>
            </w:pPr>
            <w:r w:rsidRPr="00D65C51">
              <w:t>*To whom correspondence should be addressed.</w:t>
            </w:r>
          </w:p>
          <w:p w14:paraId="5A3D5772" w14:textId="77777777" w:rsidR="00CC64E3" w:rsidRPr="00D65C51" w:rsidRDefault="00CC64E3" w:rsidP="002F4CA8">
            <w:pPr>
              <w:pStyle w:val="corrs-au"/>
            </w:pPr>
            <w:r w:rsidRPr="00D65C51">
              <w:t>Associate Editor: XXXXXXX</w:t>
            </w:r>
          </w:p>
          <w:p w14:paraId="7E509DA8"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75BD2FC9" w14:textId="77777777" w:rsidR="00CC64E3" w:rsidRPr="00C4341F" w:rsidRDefault="00CC64E3" w:rsidP="00A5432A">
            <w:pPr>
              <w:pStyle w:val="Abstract-Head"/>
            </w:pPr>
            <w:r w:rsidRPr="00C4341F">
              <w:t>Abstract</w:t>
            </w:r>
          </w:p>
          <w:p w14:paraId="75DF38AA" w14:textId="77777777"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0F8DBB56" w14:textId="77777777"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4B58832C" w14:textId="77777777"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14:paraId="1DACF9EA"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14:paraId="0FFC5210"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3309E75F" w14:textId="77777777" w:rsidR="002C783E" w:rsidRDefault="002C783E">
      <w:pPr>
        <w:pStyle w:val="AbstractHead"/>
        <w:spacing w:line="14" w:lineRule="exact"/>
      </w:pPr>
    </w:p>
    <w:p w14:paraId="1DFDFD88" w14:textId="77777777" w:rsidR="00400C63" w:rsidRDefault="00400C63">
      <w:pPr>
        <w:pStyle w:val="AbstractHead"/>
        <w:spacing w:line="14" w:lineRule="exact"/>
      </w:pPr>
    </w:p>
    <w:p w14:paraId="33F411F7"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3561F61D" w14:textId="77777777" w:rsidR="00D83B8A" w:rsidRPr="00F4766C" w:rsidRDefault="00952599" w:rsidP="001A0125">
      <w:pPr>
        <w:pStyle w:val="Heading1"/>
      </w:pPr>
      <w:r w:rsidRPr="00F4766C">
        <w:lastRenderedPageBreak/>
        <w:t xml:space="preserve">Introduction </w:t>
      </w:r>
    </w:p>
    <w:p w14:paraId="0A2B9805" w14:textId="77777777" w:rsidR="00D83B8A" w:rsidRPr="00F4766C" w:rsidRDefault="00D83B8A" w:rsidP="004E0596">
      <w:pPr>
        <w:pStyle w:val="para-first"/>
      </w:pP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gramStart"/>
      <w:r w:rsidRPr="00F4766C">
        <w:t>dog..</w:t>
      </w:r>
      <w:proofErr w:type="gramEnd"/>
    </w:p>
    <w:p w14:paraId="4573B75B" w14:textId="77777777" w:rsidR="00D83B8A" w:rsidRPr="00F4766C" w:rsidRDefault="00D83B8A" w:rsidP="004E0596">
      <w:pPr>
        <w:pStyle w:val="para1"/>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rsidRPr="00F4766C">
        <w:t xml:space="preserve">wn fox jumps over the lazy dog. </w:t>
      </w: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w:t>
      </w:r>
      <w:r w:rsidRPr="00F4766C">
        <w:lastRenderedPageBreak/>
        <w:t>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9A3330" w:rsidRPr="00F4766C">
        <w:t xml:space="preserve">.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034DF91A" w14:textId="77777777" w:rsidR="00D83B8A" w:rsidRDefault="004E13A5" w:rsidP="001A0125">
      <w:pPr>
        <w:pStyle w:val="Heading1"/>
      </w:pPr>
      <w:r w:rsidRPr="001A0125">
        <w:t>Methods</w:t>
      </w:r>
    </w:p>
    <w:p w14:paraId="3D017FB5" w14:textId="2ED499CD" w:rsidR="00251E6C" w:rsidRDefault="00251E6C" w:rsidP="00251E6C">
      <w:pPr>
        <w:pStyle w:val="para-first"/>
      </w:pPr>
      <w:r>
        <w:t xml:space="preserve">In this section we </w:t>
      </w:r>
      <w:r w:rsidRPr="00251E6C">
        <w:t xml:space="preserve">describe several novel optimizations developed to improve the </w:t>
      </w:r>
      <w:r>
        <w:t>computational performance and memory utilization of overlap graph construction and simplification algorithms. We have developed 3 version of Omega for three distinct usage patterns. Briefly they are:</w:t>
      </w:r>
    </w:p>
    <w:p w14:paraId="5113A7A8" w14:textId="6CFF9C5F" w:rsidR="007A402E" w:rsidRDefault="00251E6C" w:rsidP="00251E6C">
      <w:pPr>
        <w:pStyle w:val="para-first"/>
        <w:numPr>
          <w:ilvl w:val="0"/>
          <w:numId w:val="14"/>
        </w:numPr>
      </w:pPr>
      <w:proofErr w:type="spellStart"/>
      <w:r>
        <w:t>OpenMP</w:t>
      </w:r>
      <w:proofErr w:type="spellEnd"/>
      <w:r>
        <w:t xml:space="preserve"> version: This version uses only </w:t>
      </w:r>
      <w:proofErr w:type="spellStart"/>
      <w:r>
        <w:t>openmp</w:t>
      </w:r>
      <w:proofErr w:type="spellEnd"/>
      <w:r>
        <w:t xml:space="preserve"> </w:t>
      </w:r>
      <w:r w:rsidR="007A402E">
        <w:t xml:space="preserve">multithreading to speedup computation and runs on a single machine with </w:t>
      </w:r>
      <w:r w:rsidR="007A402E">
        <w:lastRenderedPageBreak/>
        <w:t xml:space="preserve">multiple CPUs. The RAM usage of the version is approximately equal to the disk space size of the uncompressed reads. This version is best suited for small to medium size metagenomes as the memory requirement is the major limiting factor. </w:t>
      </w:r>
    </w:p>
    <w:p w14:paraId="637C339A" w14:textId="50833584" w:rsidR="00251E6C" w:rsidRDefault="007A402E" w:rsidP="00251E6C">
      <w:pPr>
        <w:pStyle w:val="para-first"/>
        <w:numPr>
          <w:ilvl w:val="0"/>
          <w:numId w:val="14"/>
        </w:numPr>
      </w:pPr>
      <w:r>
        <w:t xml:space="preserve">MPI </w:t>
      </w:r>
      <w:proofErr w:type="spellStart"/>
      <w:r>
        <w:t>HighMem</w:t>
      </w:r>
      <w:proofErr w:type="spellEnd"/>
      <w:r>
        <w:t xml:space="preserve"> version: This version uses </w:t>
      </w:r>
      <w:proofErr w:type="spellStart"/>
      <w:r>
        <w:t>multiprocess</w:t>
      </w:r>
      <w:proofErr w:type="spellEnd"/>
      <w:r>
        <w:t xml:space="preserve"> and multithreaded parallelism to improve execution time of the </w:t>
      </w:r>
      <w:proofErr w:type="spellStart"/>
      <w:r>
        <w:t>OpenMP</w:t>
      </w:r>
      <w:proofErr w:type="spellEnd"/>
      <w:r>
        <w:t xml:space="preserve"> version. Traditional point-to-point MPI communication is used to synchronize graph construction.  The RAM usage of each MPI process is approximately equal to the disk space size of the uncompressed reads. This version is also best suited for very fast assembly of small to medium size metagenomes as the memory requirement is the major limiting factor.</w:t>
      </w:r>
    </w:p>
    <w:p w14:paraId="54A8D72D" w14:textId="4B85085F" w:rsidR="007A402E" w:rsidRDefault="007A402E" w:rsidP="00251E6C">
      <w:pPr>
        <w:pStyle w:val="para-first"/>
        <w:numPr>
          <w:ilvl w:val="0"/>
          <w:numId w:val="14"/>
        </w:numPr>
      </w:pPr>
      <w:r>
        <w:t xml:space="preserve">MPI RMA version: This version uses </w:t>
      </w:r>
      <w:proofErr w:type="spellStart"/>
      <w:r>
        <w:t>multiprocess</w:t>
      </w:r>
      <w:proofErr w:type="spellEnd"/>
      <w:r>
        <w:t xml:space="preserve"> parallelism to </w:t>
      </w:r>
      <w:r w:rsidR="00D1582A">
        <w:t>reduce</w:t>
      </w:r>
      <w:r>
        <w:t xml:space="preserve"> the memory usage of the</w:t>
      </w:r>
      <w:r w:rsidR="00D1582A">
        <w:t xml:space="preserve"> individual</w:t>
      </w:r>
      <w:r>
        <w:t xml:space="preserve"> </w:t>
      </w:r>
      <w:r w:rsidR="00D1582A">
        <w:t>processes</w:t>
      </w:r>
      <w:r>
        <w:t>.</w:t>
      </w:r>
      <w:r w:rsidR="00D1582A">
        <w:t xml:space="preserve"> The read data storage is distributed equally across all the processes and random memory access feature of MPI-3 is used to for querying data from other processes. </w:t>
      </w:r>
      <w:r>
        <w:t>Traditional point-to-point MPI communication is</w:t>
      </w:r>
      <w:r w:rsidR="00D1582A">
        <w:t xml:space="preserve"> still</w:t>
      </w:r>
      <w:r>
        <w:t xml:space="preserve"> used to synchronize graph construction. The RAM usage of each MPI process</w:t>
      </w:r>
      <w:r w:rsidR="00D1582A">
        <w:t xml:space="preserve"> can be significantly reduced by almost 70% provided enough compute nodes are available</w:t>
      </w:r>
      <w:r>
        <w:t xml:space="preserve">. This version is also best suited for very assembly of </w:t>
      </w:r>
      <w:r w:rsidR="00D1582A">
        <w:t xml:space="preserve">large </w:t>
      </w:r>
      <w:r>
        <w:t xml:space="preserve">metagenomes as the memory requirement is </w:t>
      </w:r>
      <w:r w:rsidR="00D1582A">
        <w:t xml:space="preserve">generally not a </w:t>
      </w:r>
      <w:r>
        <w:t>limiting factor.</w:t>
      </w:r>
    </w:p>
    <w:p w14:paraId="7600584D" w14:textId="77777777" w:rsidR="00D1582A" w:rsidRDefault="00D1582A" w:rsidP="00251E6C">
      <w:pPr>
        <w:pStyle w:val="para-first"/>
      </w:pPr>
    </w:p>
    <w:p w14:paraId="0D8C136C" w14:textId="129BF190" w:rsidR="00D1582A" w:rsidRDefault="00D1582A" w:rsidP="00251E6C">
      <w:pPr>
        <w:pStyle w:val="para-first"/>
      </w:pPr>
      <w:r>
        <w:t xml:space="preserve">We designed a distributed hash table structure to efficiently store and access data for overlap computation.  We combined MPI remote memory operations and point-to-point communication for synchronizing graph construction and simplification. In the following section we will describe the design of out MPI RMA version and point out </w:t>
      </w:r>
      <w:r w:rsidR="00661165">
        <w:t>major differences from the other two versions as appropriate</w:t>
      </w:r>
      <w:r>
        <w:t xml:space="preserve">. </w:t>
      </w:r>
    </w:p>
    <w:p w14:paraId="0912D22D" w14:textId="1F62DF2B" w:rsidR="00CD64AE" w:rsidRDefault="00CD64AE" w:rsidP="009E74BF">
      <w:pPr>
        <w:pStyle w:val="Heading2"/>
      </w:pPr>
      <w:r>
        <w:t xml:space="preserve">Omega Algorithm </w:t>
      </w:r>
    </w:p>
    <w:p w14:paraId="7D13099F" w14:textId="14B9AAA8" w:rsidR="00CD64AE" w:rsidRPr="00CD64AE" w:rsidRDefault="00CD64AE" w:rsidP="00CD64AE">
      <w:pPr>
        <w:rPr>
          <w:sz w:val="16"/>
        </w:rPr>
      </w:pPr>
      <w:r w:rsidRPr="00CD64AE">
        <w:rPr>
          <w:sz w:val="16"/>
        </w:rPr>
        <w:t xml:space="preserve">Omega can accept multiple input datasets with different insert sizes and variable read lengths in </w:t>
      </w:r>
      <w:proofErr w:type="spellStart"/>
      <w:r w:rsidRPr="00CD64AE">
        <w:rPr>
          <w:sz w:val="16"/>
        </w:rPr>
        <w:t>fasta</w:t>
      </w:r>
      <w:proofErr w:type="spellEnd"/>
      <w:r w:rsidRPr="00CD64AE">
        <w:rPr>
          <w:sz w:val="16"/>
        </w:rPr>
        <w:t xml:space="preserve"> or </w:t>
      </w:r>
      <w:proofErr w:type="spellStart"/>
      <w:r w:rsidRPr="00CD64AE">
        <w:rPr>
          <w:sz w:val="16"/>
        </w:rPr>
        <w:t>fastq</w:t>
      </w:r>
      <w:proofErr w:type="spellEnd"/>
      <w:r w:rsidRPr="00CD64AE">
        <w:rPr>
          <w:sz w:val="16"/>
        </w:rPr>
        <w:t xml:space="preserve"> format. The assembly and scaffolding are performed in eight </w:t>
      </w:r>
      <w:proofErr w:type="gramStart"/>
      <w:r w:rsidRPr="00CD64AE">
        <w:rPr>
          <w:sz w:val="16"/>
        </w:rPr>
        <w:t>steps :</w:t>
      </w:r>
      <w:proofErr w:type="gramEnd"/>
    </w:p>
    <w:p w14:paraId="5E6525DA" w14:textId="77777777" w:rsidR="00CD64AE" w:rsidRPr="00CD64AE" w:rsidRDefault="00CD64AE" w:rsidP="00CD64AE">
      <w:pPr>
        <w:numPr>
          <w:ilvl w:val="0"/>
          <w:numId w:val="15"/>
        </w:numPr>
        <w:rPr>
          <w:sz w:val="16"/>
        </w:rPr>
      </w:pPr>
      <w:r w:rsidRPr="00CD64AE">
        <w:rPr>
          <w:b/>
          <w:bCs/>
          <w:sz w:val="16"/>
        </w:rPr>
        <w:t>Hash table construction.</w:t>
      </w:r>
      <w:r w:rsidRPr="00CD64AE">
        <w:rPr>
          <w:sz w:val="16"/>
        </w:rPr>
        <w:t> All unique reads are loaded to the memory and indexed in a hash table. Let </w:t>
      </w:r>
      <w:r w:rsidRPr="00CD64AE">
        <w:rPr>
          <w:i/>
          <w:iCs/>
          <w:sz w:val="16"/>
        </w:rPr>
        <w:t>K</w:t>
      </w:r>
      <w:r w:rsidRPr="00CD64AE">
        <w:rPr>
          <w:sz w:val="16"/>
        </w:rPr>
        <w:t> be the user-defined minimum overlap length. The keys of the hash table are DNA sequence substrings of length </w:t>
      </w:r>
      <w:r w:rsidRPr="00CD64AE">
        <w:rPr>
          <w:i/>
          <w:iCs/>
          <w:sz w:val="16"/>
        </w:rPr>
        <w:t>K − </w:t>
      </w:r>
      <w:r w:rsidRPr="00CD64AE">
        <w:rPr>
          <w:sz w:val="16"/>
        </w:rPr>
        <w:t>1. Each read is inserted to the hash table with four keys: prefix and suffix of length </w:t>
      </w:r>
      <w:r w:rsidRPr="00CD64AE">
        <w:rPr>
          <w:i/>
          <w:iCs/>
          <w:sz w:val="16"/>
        </w:rPr>
        <w:t>K − </w:t>
      </w:r>
      <w:r w:rsidRPr="00CD64AE">
        <w:rPr>
          <w:sz w:val="16"/>
        </w:rPr>
        <w:t>1 of both forward sequence and reverse complement sequence of the read. A value in the hash table is an array of pointers to the reads associated with the corresponding key. The hash table is initialized to be eight times of the total read number. Hash collision is resolved using linear probing. The hash table allows a nearly constant time search of all reads by their prefixes or suffixes. A read that is a substring of another read is called a </w:t>
      </w:r>
      <w:r w:rsidRPr="00CD64AE">
        <w:rPr>
          <w:i/>
          <w:iCs/>
          <w:sz w:val="16"/>
        </w:rPr>
        <w:t>contained read</w:t>
      </w:r>
      <w:r w:rsidRPr="00CD64AE">
        <w:rPr>
          <w:sz w:val="16"/>
        </w:rPr>
        <w:t>. To identify all contained reads of read </w:t>
      </w:r>
      <w:r w:rsidRPr="00CD64AE">
        <w:rPr>
          <w:i/>
          <w:iCs/>
          <w:sz w:val="16"/>
        </w:rPr>
        <w:t>r</w:t>
      </w:r>
      <w:r w:rsidRPr="00CD64AE">
        <w:rPr>
          <w:sz w:val="16"/>
        </w:rPr>
        <w:t>, every proper substring </w:t>
      </w:r>
      <w:r w:rsidRPr="00CD64AE">
        <w:rPr>
          <w:i/>
          <w:iCs/>
          <w:sz w:val="16"/>
        </w:rPr>
        <w:t>s</w:t>
      </w:r>
      <w:r w:rsidRPr="00CD64AE">
        <w:rPr>
          <w:sz w:val="16"/>
        </w:rPr>
        <w:t> of length </w:t>
      </w:r>
      <w:r w:rsidRPr="00CD64AE">
        <w:rPr>
          <w:i/>
          <w:iCs/>
          <w:sz w:val="16"/>
        </w:rPr>
        <w:t>K</w:t>
      </w:r>
      <w:r w:rsidRPr="00CD64AE">
        <w:rPr>
          <w:sz w:val="16"/>
        </w:rPr>
        <w:t> in read </w:t>
      </w:r>
      <w:r w:rsidRPr="00CD64AE">
        <w:rPr>
          <w:i/>
          <w:iCs/>
          <w:sz w:val="16"/>
        </w:rPr>
        <w:t>r</w:t>
      </w:r>
      <w:r w:rsidRPr="00CD64AE">
        <w:rPr>
          <w:sz w:val="16"/>
        </w:rPr>
        <w:t> is searched in the hash table. This produces a short list of reads that contains </w:t>
      </w:r>
      <w:r w:rsidRPr="00CD64AE">
        <w:rPr>
          <w:i/>
          <w:iCs/>
          <w:sz w:val="16"/>
        </w:rPr>
        <w:t>s</w:t>
      </w:r>
      <w:r w:rsidRPr="00CD64AE">
        <w:rPr>
          <w:sz w:val="16"/>
        </w:rPr>
        <w:t> as a prefix or suffix, which is then compared with read </w:t>
      </w:r>
      <w:r w:rsidRPr="00CD64AE">
        <w:rPr>
          <w:i/>
          <w:iCs/>
          <w:sz w:val="16"/>
        </w:rPr>
        <w:t>r</w:t>
      </w:r>
      <w:r w:rsidRPr="00CD64AE">
        <w:rPr>
          <w:sz w:val="16"/>
        </w:rPr>
        <w:t> to identify the contained reads of read </w:t>
      </w:r>
      <w:r w:rsidRPr="00CD64AE">
        <w:rPr>
          <w:i/>
          <w:iCs/>
          <w:sz w:val="16"/>
        </w:rPr>
        <w:t>r</w:t>
      </w:r>
      <w:r w:rsidRPr="00CD64AE">
        <w:rPr>
          <w:sz w:val="16"/>
        </w:rPr>
        <w:t>. The contained reads are used for coverage depth calculation and mate-pair linkage analysis below.</w:t>
      </w:r>
    </w:p>
    <w:p w14:paraId="5DA11CA0" w14:textId="08D40B35" w:rsidR="00CD30F5" w:rsidRPr="00CD30F5" w:rsidRDefault="00CD30F5" w:rsidP="00CD64AE">
      <w:pPr>
        <w:numPr>
          <w:ilvl w:val="0"/>
          <w:numId w:val="15"/>
        </w:numPr>
        <w:rPr>
          <w:sz w:val="16"/>
        </w:rPr>
      </w:pPr>
      <w:r>
        <w:rPr>
          <w:sz w:val="16"/>
        </w:rPr>
        <w:t xml:space="preserve">Contained Read Removal: </w:t>
      </w:r>
    </w:p>
    <w:p w14:paraId="6969F73B" w14:textId="77777777" w:rsidR="00CD64AE" w:rsidRPr="00CD64AE" w:rsidRDefault="00CD64AE" w:rsidP="00CD64AE">
      <w:pPr>
        <w:numPr>
          <w:ilvl w:val="0"/>
          <w:numId w:val="15"/>
        </w:numPr>
        <w:rPr>
          <w:sz w:val="16"/>
        </w:rPr>
      </w:pPr>
      <w:r w:rsidRPr="00CD64AE">
        <w:rPr>
          <w:b/>
          <w:bCs/>
          <w:sz w:val="16"/>
        </w:rPr>
        <w:lastRenderedPageBreak/>
        <w:t>Overlap graph construction.</w:t>
      </w:r>
      <w:r w:rsidRPr="00CD64AE">
        <w:rPr>
          <w:sz w:val="16"/>
        </w:rPr>
        <w:t> Each read is represented by a vertex in a bi-directed overlap graph. An edge is inserted between two vertices if the two corresponding reads have an exact-match overlap of at least </w:t>
      </w:r>
      <w:r w:rsidRPr="00CD64AE">
        <w:rPr>
          <w:i/>
          <w:iCs/>
          <w:sz w:val="16"/>
        </w:rPr>
        <w:t>K</w:t>
      </w:r>
      <w:r w:rsidRPr="00CD64AE">
        <w:rPr>
          <w:sz w:val="16"/>
        </w:rPr>
        <w:t> </w:t>
      </w:r>
      <w:proofErr w:type="spellStart"/>
      <w:r w:rsidRPr="00CD64AE">
        <w:rPr>
          <w:sz w:val="16"/>
        </w:rPr>
        <w:t>bp.</w:t>
      </w:r>
      <w:proofErr w:type="spellEnd"/>
      <w:r w:rsidRPr="00CD64AE">
        <w:rPr>
          <w:sz w:val="16"/>
        </w:rPr>
        <w:t xml:space="preserve"> The bi-directed edges represent the four different orientations in which two reads can overlap: suffix with prefix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suffix of the reverse complement with prefix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suffix with prefix of the reverse complement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and suffix of the reverse complement with prefix of the reverse complement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To efficiently find all reads overlapping with a read </w:t>
      </w:r>
      <w:r w:rsidRPr="00CD64AE">
        <w:rPr>
          <w:i/>
          <w:iCs/>
          <w:sz w:val="16"/>
        </w:rPr>
        <w:t>r</w:t>
      </w:r>
      <w:r w:rsidRPr="00CD64AE">
        <w:rPr>
          <w:sz w:val="16"/>
        </w:rPr>
        <w:t>, every proper substring </w:t>
      </w:r>
      <w:r w:rsidRPr="00CD64AE">
        <w:rPr>
          <w:i/>
          <w:iCs/>
          <w:sz w:val="16"/>
        </w:rPr>
        <w:t>s</w:t>
      </w:r>
      <w:r w:rsidRPr="00CD64AE">
        <w:rPr>
          <w:sz w:val="16"/>
        </w:rPr>
        <w:t> of length </w:t>
      </w:r>
      <w:r w:rsidRPr="00CD64AE">
        <w:rPr>
          <w:i/>
          <w:iCs/>
          <w:sz w:val="16"/>
        </w:rPr>
        <w:t>K − </w:t>
      </w:r>
      <w:r w:rsidRPr="00CD64AE">
        <w:rPr>
          <w:sz w:val="16"/>
        </w:rPr>
        <w:t>1 in read </w:t>
      </w:r>
      <w:r w:rsidRPr="00CD64AE">
        <w:rPr>
          <w:i/>
          <w:iCs/>
          <w:sz w:val="16"/>
        </w:rPr>
        <w:t>r</w:t>
      </w:r>
      <w:r w:rsidRPr="00CD64AE">
        <w:rPr>
          <w:sz w:val="16"/>
        </w:rPr>
        <w:t> is searched in the hash table, and all retrieved reads are compared with the read </w:t>
      </w:r>
      <w:r w:rsidRPr="00CD64AE">
        <w:rPr>
          <w:i/>
          <w:iCs/>
          <w:sz w:val="16"/>
        </w:rPr>
        <w:t>r</w:t>
      </w:r>
      <w:r w:rsidRPr="00CD64AE">
        <w:rPr>
          <w:sz w:val="16"/>
        </w:rPr>
        <w:t>. If a read has the exact match with read </w:t>
      </w:r>
      <w:r w:rsidRPr="00CD64AE">
        <w:rPr>
          <w:i/>
          <w:iCs/>
          <w:sz w:val="16"/>
        </w:rPr>
        <w:t>r</w:t>
      </w:r>
      <w:r w:rsidRPr="00CD64AE">
        <w:rPr>
          <w:sz w:val="16"/>
        </w:rPr>
        <w:t> for their remaining overlap, an edge is inserted between the two reads’ corresponding vertices. After inserting all edges of read </w:t>
      </w:r>
      <w:r w:rsidRPr="00CD64AE">
        <w:rPr>
          <w:i/>
          <w:iCs/>
          <w:sz w:val="16"/>
        </w:rPr>
        <w:t>r</w:t>
      </w:r>
      <w:r w:rsidRPr="00CD64AE">
        <w:rPr>
          <w:sz w:val="16"/>
        </w:rPr>
        <w:t>, all transitive edges incident on read </w:t>
      </w:r>
      <w:r w:rsidRPr="00CD64AE">
        <w:rPr>
          <w:i/>
          <w:iCs/>
          <w:sz w:val="16"/>
        </w:rPr>
        <w:t>r</w:t>
      </w:r>
      <w:r w:rsidRPr="00CD64AE">
        <w:rPr>
          <w:sz w:val="16"/>
        </w:rPr>
        <w:t> are removed using a linear algorithm as described (</w:t>
      </w:r>
      <w:hyperlink r:id="rId10" w:anchor="ref-3" w:history="1">
        <w:proofErr w:type="spellStart"/>
        <w:r w:rsidRPr="00CD64AE">
          <w:rPr>
            <w:rStyle w:val="Hyperlink"/>
            <w:sz w:val="16"/>
          </w:rPr>
          <w:t>Haider</w:t>
        </w:r>
        <w:proofErr w:type="spellEnd"/>
        <w:r w:rsidRPr="00CD64AE">
          <w:rPr>
            <w:rStyle w:val="Hyperlink"/>
            <w:sz w:val="16"/>
          </w:rPr>
          <w:t>, 2012</w:t>
        </w:r>
      </w:hyperlink>
      <w:r w:rsidRPr="00CD64AE">
        <w:rPr>
          <w:sz w:val="16"/>
        </w:rPr>
        <w:t>; </w:t>
      </w:r>
      <w:hyperlink r:id="rId11" w:anchor="ref-9" w:history="1">
        <w:r w:rsidRPr="00CD64AE">
          <w:rPr>
            <w:rStyle w:val="Hyperlink"/>
            <w:sz w:val="16"/>
          </w:rPr>
          <w:t>Myers, 2005</w:t>
        </w:r>
      </w:hyperlink>
      <w:r w:rsidRPr="00CD64AE">
        <w:rPr>
          <w:sz w:val="16"/>
        </w:rPr>
        <w:t>). Briefly, suppose that </w:t>
      </w:r>
      <w:r w:rsidRPr="00CD64AE">
        <w:rPr>
          <w:i/>
          <w:iCs/>
          <w:sz w:val="16"/>
        </w:rPr>
        <w:t>r</w:t>
      </w:r>
      <w:r w:rsidRPr="00CD64AE">
        <w:rPr>
          <w:sz w:val="16"/>
        </w:rPr>
        <w:t> is connected with two other reads, </w:t>
      </w:r>
      <w:proofErr w:type="gramStart"/>
      <w:r w:rsidRPr="00CD64AE">
        <w:rPr>
          <w:i/>
          <w:iCs/>
          <w:sz w:val="16"/>
        </w:rPr>
        <w:t>a</w:t>
      </w:r>
      <w:proofErr w:type="gramEnd"/>
      <w:r w:rsidRPr="00CD64AE">
        <w:rPr>
          <w:sz w:val="16"/>
        </w:rPr>
        <w:t> and </w:t>
      </w:r>
      <w:r w:rsidRPr="00CD64AE">
        <w:rPr>
          <w:i/>
          <w:iCs/>
          <w:sz w:val="16"/>
        </w:rPr>
        <w:t>b</w:t>
      </w:r>
      <w:r w:rsidRPr="00CD64AE">
        <w:rPr>
          <w:sz w:val="16"/>
        </w:rPr>
        <w:t>. If there is also an edge between </w:t>
      </w:r>
      <w:proofErr w:type="gramStart"/>
      <w:r w:rsidRPr="00CD64AE">
        <w:rPr>
          <w:i/>
          <w:iCs/>
          <w:sz w:val="16"/>
        </w:rPr>
        <w:t>a</w:t>
      </w:r>
      <w:proofErr w:type="gramEnd"/>
      <w:r w:rsidRPr="00CD64AE">
        <w:rPr>
          <w:sz w:val="16"/>
        </w:rPr>
        <w:t> and </w:t>
      </w:r>
      <w:r w:rsidRPr="00CD64AE">
        <w:rPr>
          <w:i/>
          <w:iCs/>
          <w:sz w:val="16"/>
        </w:rPr>
        <w:t>b</w:t>
      </w:r>
      <w:r w:rsidRPr="00CD64AE">
        <w:rPr>
          <w:sz w:val="16"/>
        </w:rPr>
        <w:t> to form a triangle with </w:t>
      </w:r>
      <w:r w:rsidRPr="00CD64AE">
        <w:rPr>
          <w:i/>
          <w:iCs/>
          <w:sz w:val="16"/>
        </w:rPr>
        <w:t>r</w:t>
      </w:r>
      <w:r w:rsidRPr="00CD64AE">
        <w:rPr>
          <w:sz w:val="16"/>
        </w:rPr>
        <w:t> and the sequence represented by the edge (</w:t>
      </w:r>
      <w:r w:rsidRPr="00CD64AE">
        <w:rPr>
          <w:i/>
          <w:iCs/>
          <w:sz w:val="16"/>
        </w:rPr>
        <w:t>r, b</w:t>
      </w:r>
      <w:r w:rsidRPr="00CD64AE">
        <w:rPr>
          <w:sz w:val="16"/>
        </w:rPr>
        <w:t>) is the same as the sequence represented by the path through (</w:t>
      </w:r>
      <w:r w:rsidRPr="00CD64AE">
        <w:rPr>
          <w:i/>
          <w:iCs/>
          <w:sz w:val="16"/>
        </w:rPr>
        <w:t>r, a</w:t>
      </w:r>
      <w:r w:rsidRPr="00CD64AE">
        <w:rPr>
          <w:sz w:val="16"/>
        </w:rPr>
        <w:t>) and (</w:t>
      </w:r>
      <w:r w:rsidRPr="00CD64AE">
        <w:rPr>
          <w:i/>
          <w:iCs/>
          <w:sz w:val="16"/>
        </w:rPr>
        <w:t>a, b</w:t>
      </w:r>
      <w:r w:rsidRPr="00CD64AE">
        <w:rPr>
          <w:sz w:val="16"/>
        </w:rPr>
        <w:t>), then (</w:t>
      </w:r>
      <w:r w:rsidRPr="00CD64AE">
        <w:rPr>
          <w:i/>
          <w:iCs/>
          <w:sz w:val="16"/>
        </w:rPr>
        <w:t>r, b</w:t>
      </w:r>
      <w:r w:rsidRPr="00CD64AE">
        <w:rPr>
          <w:sz w:val="16"/>
        </w:rPr>
        <w:t>) is identified as a transitive edge and is deleted. Removing all transitive edges significantly simplifies the overlap graph without losing any information.</w:t>
      </w:r>
    </w:p>
    <w:p w14:paraId="213E86E0" w14:textId="77777777" w:rsidR="00CD64AE" w:rsidRPr="00CD64AE" w:rsidRDefault="00CD64AE" w:rsidP="00CD64AE">
      <w:pPr>
        <w:numPr>
          <w:ilvl w:val="0"/>
          <w:numId w:val="15"/>
        </w:numPr>
        <w:rPr>
          <w:sz w:val="16"/>
        </w:rPr>
      </w:pPr>
      <w:r w:rsidRPr="00CD64AE">
        <w:rPr>
          <w:b/>
          <w:bCs/>
          <w:sz w:val="16"/>
        </w:rPr>
        <w:t>Composite edge contraction.</w:t>
      </w:r>
      <w:r w:rsidRPr="00CD64AE">
        <w:rPr>
          <w:sz w:val="16"/>
        </w:rPr>
        <w:t> While the bi-directed edges can be traversed in both directions, the vertices can be traversed only by entering a vertex in an in-arrow and exiting in an out-arrow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or by entering a vertex in an out-arrow and exiting in an in-arrow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A valid path in the overlap graph represents an assembled DNA sequence containing proper overlapping reads with appropriate orientation and sufficient overlap length. After removing transitive edges, simple vertices have exactly one in-arrow and one out-arrow, representing only one possible way to traverse such simple vertices. A read in a simple vertex uniquely overlaps with one other read in either direction. To simplify the overlap graph, a simple vertex, </w:t>
      </w:r>
      <w:r w:rsidRPr="00CD64AE">
        <w:rPr>
          <w:i/>
          <w:iCs/>
          <w:sz w:val="16"/>
        </w:rPr>
        <w:t>r</w:t>
      </w:r>
      <w:r w:rsidRPr="00CD64AE">
        <w:rPr>
          <w:sz w:val="16"/>
        </w:rPr>
        <w:t>, along with its in-arrow edge (</w:t>
      </w:r>
      <w:r w:rsidRPr="00CD64AE">
        <w:rPr>
          <w:i/>
          <w:iCs/>
          <w:sz w:val="16"/>
        </w:rPr>
        <w:t>u, r</w:t>
      </w:r>
      <w:r w:rsidRPr="00CD64AE">
        <w:rPr>
          <w:sz w:val="16"/>
        </w:rPr>
        <w:t>) and out-arrow edge (</w:t>
      </w:r>
      <w:r w:rsidRPr="00CD64AE">
        <w:rPr>
          <w:i/>
          <w:iCs/>
          <w:sz w:val="16"/>
        </w:rPr>
        <w:t xml:space="preserve">r, </w:t>
      </w:r>
      <w:proofErr w:type="spellStart"/>
      <w:r w:rsidRPr="00CD64AE">
        <w:rPr>
          <w:i/>
          <w:iCs/>
          <w:sz w:val="16"/>
        </w:rPr>
        <w:t>w</w:t>
      </w:r>
      <w:proofErr w:type="spellEnd"/>
      <w:r w:rsidRPr="00CD64AE">
        <w:rPr>
          <w:sz w:val="16"/>
        </w:rPr>
        <w:t>), are replaced by a composite edge (</w:t>
      </w:r>
      <w:r w:rsidRPr="00CD64AE">
        <w:rPr>
          <w:i/>
          <w:iCs/>
          <w:sz w:val="16"/>
        </w:rPr>
        <w:t>u, w</w:t>
      </w:r>
      <w:r w:rsidRPr="00CD64AE">
        <w:rPr>
          <w:sz w:val="16"/>
        </w:rPr>
        <w:t>) in the overlap graph. The composite edge (</w:t>
      </w:r>
      <w:r w:rsidRPr="00CD64AE">
        <w:rPr>
          <w:i/>
          <w:iCs/>
          <w:sz w:val="16"/>
        </w:rPr>
        <w:t>u, w</w:t>
      </w:r>
      <w:r w:rsidRPr="00CD64AE">
        <w:rPr>
          <w:sz w:val="16"/>
        </w:rPr>
        <w:t>) contains the read </w:t>
      </w:r>
      <w:r w:rsidRPr="00CD64AE">
        <w:rPr>
          <w:i/>
          <w:iCs/>
          <w:sz w:val="16"/>
        </w:rPr>
        <w:t>r</w:t>
      </w:r>
      <w:r w:rsidRPr="00CD64AE">
        <w:rPr>
          <w:sz w:val="16"/>
        </w:rPr>
        <w:t>and all ordered reads in edge (</w:t>
      </w:r>
      <w:r w:rsidRPr="00CD64AE">
        <w:rPr>
          <w:i/>
          <w:iCs/>
          <w:sz w:val="16"/>
        </w:rPr>
        <w:t>u, r</w:t>
      </w:r>
      <w:r w:rsidRPr="00CD64AE">
        <w:rPr>
          <w:sz w:val="16"/>
        </w:rPr>
        <w:t>) and (</w:t>
      </w:r>
      <w:r w:rsidRPr="00CD64AE">
        <w:rPr>
          <w:i/>
          <w:iCs/>
          <w:sz w:val="16"/>
        </w:rPr>
        <w:t>r, w</w:t>
      </w:r>
      <w:r w:rsidRPr="00CD64AE">
        <w:rPr>
          <w:sz w:val="16"/>
        </w:rPr>
        <w:t>). The edge (</w:t>
      </w:r>
      <w:r w:rsidRPr="00CD64AE">
        <w:rPr>
          <w:i/>
          <w:iCs/>
          <w:sz w:val="16"/>
        </w:rPr>
        <w:t>u, w</w:t>
      </w:r>
      <w:r w:rsidRPr="00CD64AE">
        <w:rPr>
          <w:sz w:val="16"/>
        </w:rPr>
        <w:t>) has the same arrow types to </w:t>
      </w:r>
      <w:r w:rsidRPr="00CD64AE">
        <w:rPr>
          <w:i/>
          <w:iCs/>
          <w:sz w:val="16"/>
        </w:rPr>
        <w:t>u</w:t>
      </w:r>
      <w:r w:rsidRPr="00CD64AE">
        <w:rPr>
          <w:sz w:val="16"/>
        </w:rPr>
        <w:t> and </w:t>
      </w:r>
      <w:proofErr w:type="spellStart"/>
      <w:r w:rsidRPr="00CD64AE">
        <w:rPr>
          <w:i/>
          <w:iCs/>
          <w:sz w:val="16"/>
        </w:rPr>
        <w:t>w</w:t>
      </w:r>
      <w:r w:rsidRPr="00CD64AE">
        <w:rPr>
          <w:sz w:val="16"/>
        </w:rPr>
        <w:t> as</w:t>
      </w:r>
      <w:proofErr w:type="spellEnd"/>
      <w:r w:rsidRPr="00CD64AE">
        <w:rPr>
          <w:sz w:val="16"/>
        </w:rPr>
        <w:t xml:space="preserve"> the original edges, (</w:t>
      </w:r>
      <w:r w:rsidRPr="00CD64AE">
        <w:rPr>
          <w:i/>
          <w:iCs/>
          <w:sz w:val="16"/>
        </w:rPr>
        <w:t>u, r</w:t>
      </w:r>
      <w:r w:rsidRPr="00CD64AE">
        <w:rPr>
          <w:sz w:val="16"/>
        </w:rPr>
        <w:t>) and (</w:t>
      </w:r>
      <w:r w:rsidRPr="00CD64AE">
        <w:rPr>
          <w:i/>
          <w:iCs/>
          <w:sz w:val="16"/>
        </w:rPr>
        <w:t>r, w</w:t>
      </w:r>
      <w:r w:rsidRPr="00CD64AE">
        <w:rPr>
          <w:sz w:val="16"/>
        </w:rPr>
        <w:t>), respectively. Simple vertices are merged into composite edges iteratively, until there is no simple vertex remaining in the overlap graph.</w:t>
      </w:r>
    </w:p>
    <w:p w14:paraId="76C8FD30" w14:textId="51800E5B" w:rsidR="00CD64AE" w:rsidRPr="00CD64AE" w:rsidRDefault="00CD64AE" w:rsidP="00CD64AE">
      <w:pPr>
        <w:numPr>
          <w:ilvl w:val="0"/>
          <w:numId w:val="15"/>
        </w:numPr>
        <w:rPr>
          <w:sz w:val="16"/>
        </w:rPr>
      </w:pPr>
      <w:r w:rsidRPr="00CD64AE">
        <w:rPr>
          <w:b/>
          <w:bCs/>
          <w:sz w:val="16"/>
        </w:rPr>
        <w:t>Sequence variation removal.</w:t>
      </w:r>
      <w:r w:rsidRPr="00CD64AE">
        <w:rPr>
          <w:sz w:val="16"/>
        </w:rPr>
        <w:t xml:space="preserve"> Sequence variations originate from uncorrected sequencing errors and natural sequence polymorphisms in microbial communities. Many reads with sequence variations do not overlap with any other reads and are represented as isolated vertices in the overlap graph. Reads with the same sequence variation may overlap with one another, which creates small branches and bubbles in the overlap graph. Small branches are short dead-end paths that contain &lt;10 reads. Bubbles are two edges that connect the same two vertices with the same arrow types. The overlap graph is </w:t>
      </w:r>
      <w:r w:rsidR="00C22DEA">
        <w:rPr>
          <w:noProof/>
        </w:rPr>
        <w:lastRenderedPageBreak/>
        <w:drawing>
          <wp:anchor distT="0" distB="0" distL="114300" distR="114300" simplePos="0" relativeHeight="251658752" behindDoc="0" locked="0" layoutInCell="1" allowOverlap="1" wp14:anchorId="247C43FC" wp14:editId="359B58DA">
            <wp:simplePos x="0" y="0"/>
            <wp:positionH relativeFrom="column">
              <wp:posOffset>890905</wp:posOffset>
            </wp:positionH>
            <wp:positionV relativeFrom="paragraph">
              <wp:posOffset>40005</wp:posOffset>
            </wp:positionV>
            <wp:extent cx="4791710" cy="3596005"/>
            <wp:effectExtent l="0" t="0" r="8890" b="10795"/>
            <wp:wrapTopAndBottom/>
            <wp:docPr id="3" name="Picture 3" descr="OmegaFig_1_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Fig_1_2/Slid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71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4AE">
        <w:rPr>
          <w:sz w:val="16"/>
        </w:rPr>
        <w:t>systematically traversed to trim off small branches and remove the edges containing less reads in bubbles. This may create new simple vertices that are then removed by repeating the composite edge contraction.</w:t>
      </w:r>
    </w:p>
    <w:p w14:paraId="17A61506" w14:textId="77777777" w:rsidR="00CD64AE" w:rsidRPr="00CD64AE" w:rsidRDefault="00CD64AE" w:rsidP="00CD64AE">
      <w:pPr>
        <w:numPr>
          <w:ilvl w:val="0"/>
          <w:numId w:val="15"/>
        </w:numPr>
        <w:rPr>
          <w:sz w:val="16"/>
        </w:rPr>
      </w:pPr>
      <w:r w:rsidRPr="00CD64AE">
        <w:rPr>
          <w:b/>
          <w:bCs/>
          <w:sz w:val="16"/>
        </w:rPr>
        <w:t>Minimum cost flow analysis.</w:t>
      </w:r>
      <w:r w:rsidRPr="00CD64AE">
        <w:rPr>
          <w:sz w:val="16"/>
        </w:rPr>
        <w:t> Each edge in the overlap graph is associated with a string copy number, representing how many times the edge’s sequence is present in the metagenome. String copy numbers of edges are estimated based on the topology of the overlap graph using minimum cost flow analysis as described (</w:t>
      </w:r>
      <w:hyperlink r:id="rId13" w:anchor="ref-3" w:history="1">
        <w:proofErr w:type="spellStart"/>
        <w:r w:rsidRPr="00CD64AE">
          <w:rPr>
            <w:rStyle w:val="Hyperlink"/>
            <w:sz w:val="16"/>
          </w:rPr>
          <w:t>Haider</w:t>
        </w:r>
        <w:proofErr w:type="spellEnd"/>
        <w:r w:rsidRPr="00CD64AE">
          <w:rPr>
            <w:rStyle w:val="Hyperlink"/>
            <w:sz w:val="16"/>
          </w:rPr>
          <w:t>, 2012</w:t>
        </w:r>
      </w:hyperlink>
      <w:r w:rsidRPr="00CD64AE">
        <w:rPr>
          <w:sz w:val="16"/>
        </w:rPr>
        <w:t>; </w:t>
      </w:r>
      <w:hyperlink r:id="rId14" w:anchor="ref-9" w:history="1">
        <w:r w:rsidRPr="00CD64AE">
          <w:rPr>
            <w:rStyle w:val="Hyperlink"/>
            <w:sz w:val="16"/>
          </w:rPr>
          <w:t>Myers, 2005</w:t>
        </w:r>
      </w:hyperlink>
      <w:r w:rsidRPr="00CD64AE">
        <w:rPr>
          <w:sz w:val="16"/>
        </w:rPr>
        <w:t xml:space="preserve">). Composite edges with sequences &gt;1000 </w:t>
      </w:r>
      <w:proofErr w:type="spellStart"/>
      <w:r w:rsidRPr="00CD64AE">
        <w:rPr>
          <w:sz w:val="16"/>
        </w:rPr>
        <w:t>bp</w:t>
      </w:r>
      <w:proofErr w:type="spellEnd"/>
      <w:r w:rsidRPr="00CD64AE">
        <w:rPr>
          <w:sz w:val="16"/>
        </w:rPr>
        <w:t xml:space="preserve"> are set to have a minimum flow of 1, requiring such edges’ sequences to be present in the metagenome at least once. The minimum flow for short edges (&lt;1000 </w:t>
      </w:r>
      <w:proofErr w:type="spellStart"/>
      <w:r w:rsidRPr="00CD64AE">
        <w:rPr>
          <w:sz w:val="16"/>
        </w:rPr>
        <w:t>bp</w:t>
      </w:r>
      <w:proofErr w:type="spellEnd"/>
      <w:r w:rsidRPr="00CD64AE">
        <w:rPr>
          <w:sz w:val="16"/>
        </w:rPr>
        <w:t>) is set to 0. The CS2 algorithm (</w:t>
      </w:r>
      <w:hyperlink r:id="rId15" w:anchor="ref-2" w:history="1">
        <w:r w:rsidRPr="00CD64AE">
          <w:rPr>
            <w:rStyle w:val="Hyperlink"/>
            <w:sz w:val="16"/>
          </w:rPr>
          <w:t>Goldberg, 1997</w:t>
        </w:r>
      </w:hyperlink>
      <w:r w:rsidRPr="00CD64AE">
        <w:rPr>
          <w:sz w:val="16"/>
        </w:rPr>
        <w:t>) is used to optimize the amount of flow passing through every edge such that the total cost of the flow network in the overlap graph is minimized. Edges with more than one unit of flow correspond to repeat regions shared among multiple genomes or multiple places in a single genome. Edges with zero flow represent short sequences that are not needed to connect long sequences together and are ignored. Tree structures in the overlap graph are simplified using the flows. A tree comprises two edges, (</w:t>
      </w:r>
      <w:r w:rsidRPr="00CD64AE">
        <w:rPr>
          <w:i/>
          <w:iCs/>
          <w:sz w:val="16"/>
        </w:rPr>
        <w:t>p, t</w:t>
      </w:r>
      <w:r w:rsidRPr="00CD64AE">
        <w:rPr>
          <w:sz w:val="16"/>
        </w:rPr>
        <w:t>) and (</w:t>
      </w:r>
      <w:r w:rsidRPr="00CD64AE">
        <w:rPr>
          <w:i/>
          <w:iCs/>
          <w:sz w:val="16"/>
        </w:rPr>
        <w:t>q, t</w:t>
      </w:r>
      <w:r w:rsidRPr="00CD64AE">
        <w:rPr>
          <w:sz w:val="16"/>
        </w:rPr>
        <w:t>), merging to a third edge (</w:t>
      </w:r>
      <w:r w:rsidRPr="00CD64AE">
        <w:rPr>
          <w:i/>
          <w:iCs/>
          <w:sz w:val="16"/>
        </w:rPr>
        <w:t>t, r</w:t>
      </w:r>
      <w:r w:rsidRPr="00CD64AE">
        <w:rPr>
          <w:sz w:val="16"/>
        </w:rPr>
        <w:t>), and the flow on (</w:t>
      </w:r>
      <w:r w:rsidRPr="00CD64AE">
        <w:rPr>
          <w:i/>
          <w:iCs/>
          <w:sz w:val="16"/>
        </w:rPr>
        <w:t>t, r</w:t>
      </w:r>
      <w:r w:rsidRPr="00CD64AE">
        <w:rPr>
          <w:sz w:val="16"/>
        </w:rPr>
        <w:t>) is equal to the total flow on (</w:t>
      </w:r>
      <w:r w:rsidRPr="00CD64AE">
        <w:rPr>
          <w:i/>
          <w:iCs/>
          <w:sz w:val="16"/>
        </w:rPr>
        <w:t>p, t</w:t>
      </w:r>
      <w:r w:rsidRPr="00CD64AE">
        <w:rPr>
          <w:sz w:val="16"/>
        </w:rPr>
        <w:t>) and (</w:t>
      </w:r>
      <w:r w:rsidRPr="00CD64AE">
        <w:rPr>
          <w:i/>
          <w:iCs/>
          <w:sz w:val="16"/>
        </w:rPr>
        <w:t>q, t</w:t>
      </w:r>
      <w:r w:rsidRPr="00CD64AE">
        <w:rPr>
          <w:sz w:val="16"/>
        </w:rPr>
        <w:t>). Such a tree is reduced to two new edges (</w:t>
      </w:r>
      <w:r w:rsidRPr="00CD64AE">
        <w:rPr>
          <w:i/>
          <w:iCs/>
          <w:sz w:val="16"/>
        </w:rPr>
        <w:t>p, r</w:t>
      </w:r>
      <w:r w:rsidRPr="00CD64AE">
        <w:rPr>
          <w:sz w:val="16"/>
        </w:rPr>
        <w:t>) and (</w:t>
      </w:r>
      <w:r w:rsidRPr="00CD64AE">
        <w:rPr>
          <w:i/>
          <w:iCs/>
          <w:sz w:val="16"/>
        </w:rPr>
        <w:t>q, r</w:t>
      </w:r>
      <w:r w:rsidRPr="00CD64AE">
        <w:rPr>
          <w:sz w:val="16"/>
        </w:rPr>
        <w:t>) that both contain the reads in vertex </w:t>
      </w:r>
      <w:r w:rsidRPr="00CD64AE">
        <w:rPr>
          <w:i/>
          <w:iCs/>
          <w:sz w:val="16"/>
        </w:rPr>
        <w:t>t</w:t>
      </w:r>
      <w:r w:rsidRPr="00CD64AE">
        <w:rPr>
          <w:sz w:val="16"/>
        </w:rPr>
        <w:t> and edge (</w:t>
      </w:r>
      <w:r w:rsidRPr="00CD64AE">
        <w:rPr>
          <w:i/>
          <w:iCs/>
          <w:sz w:val="16"/>
        </w:rPr>
        <w:t>t, r</w:t>
      </w:r>
      <w:r w:rsidRPr="00CD64AE">
        <w:rPr>
          <w:sz w:val="16"/>
        </w:rPr>
        <w:t>).</w:t>
      </w:r>
    </w:p>
    <w:p w14:paraId="598140F3" w14:textId="77777777" w:rsidR="00CD64AE" w:rsidRPr="00CD64AE" w:rsidRDefault="00CD64AE" w:rsidP="00CD64AE">
      <w:pPr>
        <w:numPr>
          <w:ilvl w:val="0"/>
          <w:numId w:val="15"/>
        </w:numPr>
        <w:rPr>
          <w:sz w:val="16"/>
        </w:rPr>
      </w:pPr>
      <w:r w:rsidRPr="00CD64AE">
        <w:rPr>
          <w:b/>
          <w:bCs/>
          <w:sz w:val="16"/>
        </w:rPr>
        <w:t>Merging of adjacent edges with mate-pair support.</w:t>
      </w:r>
      <w:r w:rsidRPr="00CD64AE">
        <w:rPr>
          <w:sz w:val="16"/>
        </w:rPr>
        <w:t> The insert size of each paired-end dataset is estimated separately to accommodate a mixture of datasets with different insert sizes. The overlap graph at this stage has long composite edges that contain both reads of many mate-pairs. The insert sizes of such pairs are determined from their relative locations on the long edges and are pooled to estimate the mean </w:t>
      </w:r>
      <w:r w:rsidRPr="00CD64AE">
        <w:rPr>
          <w:i/>
          <w:iCs/>
          <w:sz w:val="16"/>
        </w:rPr>
        <w:t>μ</w:t>
      </w:r>
      <w:r w:rsidRPr="00CD64AE">
        <w:rPr>
          <w:sz w:val="16"/>
        </w:rPr>
        <w:t> and SD </w:t>
      </w:r>
      <w:r w:rsidRPr="00CD64AE">
        <w:rPr>
          <w:i/>
          <w:iCs/>
          <w:sz w:val="16"/>
        </w:rPr>
        <w:t>σ</w:t>
      </w:r>
      <w:r w:rsidRPr="00CD64AE">
        <w:rPr>
          <w:sz w:val="16"/>
        </w:rPr>
        <w:t> of all mate-pairs’ insert sizes in each dataset. Mate-pairs that span multiple edges are used to merge adjacent edges in the overlap graph. For each of such mate-pairs, all possible paths of length within range (</w:t>
      </w:r>
      <w:r w:rsidRPr="00CD64AE">
        <w:rPr>
          <w:i/>
          <w:iCs/>
          <w:sz w:val="16"/>
        </w:rPr>
        <w:t>μ</w:t>
      </w:r>
      <w:r w:rsidRPr="00CD64AE">
        <w:rPr>
          <w:sz w:val="16"/>
        </w:rPr>
        <w:t> − 3</w:t>
      </w:r>
      <w:r w:rsidRPr="00CD64AE">
        <w:rPr>
          <w:i/>
          <w:iCs/>
          <w:sz w:val="16"/>
        </w:rPr>
        <w:t>σ</w:t>
      </w:r>
      <w:r w:rsidRPr="00CD64AE">
        <w:rPr>
          <w:sz w:val="16"/>
        </w:rPr>
        <w:t>, </w:t>
      </w:r>
      <w:r w:rsidRPr="00CD64AE">
        <w:rPr>
          <w:i/>
          <w:iCs/>
          <w:sz w:val="16"/>
        </w:rPr>
        <w:t>μ</w:t>
      </w:r>
      <w:r w:rsidRPr="00CD64AE">
        <w:rPr>
          <w:sz w:val="16"/>
        </w:rPr>
        <w:t> + 3</w:t>
      </w:r>
      <w:r w:rsidRPr="00CD64AE">
        <w:rPr>
          <w:i/>
          <w:iCs/>
          <w:sz w:val="16"/>
        </w:rPr>
        <w:t>σ</w:t>
      </w:r>
      <w:r w:rsidRPr="00CD64AE">
        <w:rPr>
          <w:sz w:val="16"/>
        </w:rPr>
        <w:t>) are enumerated. If all paths of a mate-pair travel through two adjacent edges, (</w:t>
      </w:r>
      <w:r w:rsidRPr="00CD64AE">
        <w:rPr>
          <w:i/>
          <w:iCs/>
          <w:sz w:val="16"/>
        </w:rPr>
        <w:t>m, r</w:t>
      </w:r>
      <w:r w:rsidRPr="00CD64AE">
        <w:rPr>
          <w:sz w:val="16"/>
        </w:rPr>
        <w:t>) and (</w:t>
      </w:r>
      <w:r w:rsidRPr="00CD64AE">
        <w:rPr>
          <w:i/>
          <w:iCs/>
          <w:sz w:val="16"/>
        </w:rPr>
        <w:t>r, n</w:t>
      </w:r>
      <w:r w:rsidRPr="00CD64AE">
        <w:rPr>
          <w:sz w:val="16"/>
        </w:rPr>
        <w:t>), the connection between these two edges is considered to be supported by this mate-pair. After processing all mate-pairs, if the connection between (</w:t>
      </w:r>
      <w:r w:rsidRPr="00CD64AE">
        <w:rPr>
          <w:i/>
          <w:iCs/>
          <w:sz w:val="16"/>
        </w:rPr>
        <w:t>m, r</w:t>
      </w:r>
      <w:r w:rsidRPr="00CD64AE">
        <w:rPr>
          <w:sz w:val="16"/>
        </w:rPr>
        <w:t>) and (</w:t>
      </w:r>
      <w:r w:rsidRPr="00CD64AE">
        <w:rPr>
          <w:i/>
          <w:iCs/>
          <w:sz w:val="16"/>
        </w:rPr>
        <w:t>r, n</w:t>
      </w:r>
      <w:r w:rsidRPr="00CD64AE">
        <w:rPr>
          <w:sz w:val="16"/>
        </w:rPr>
        <w:t>) is supported by more than three mate-pairs, these two edges are merged to one edge (</w:t>
      </w:r>
      <w:r w:rsidRPr="00CD64AE">
        <w:rPr>
          <w:i/>
          <w:iCs/>
          <w:sz w:val="16"/>
        </w:rPr>
        <w:t>m, n</w:t>
      </w:r>
      <w:r w:rsidRPr="00CD64AE">
        <w:rPr>
          <w:sz w:val="16"/>
        </w:rPr>
        <w:t>) containing a duplicated </w:t>
      </w:r>
      <w:r w:rsidRPr="00CD64AE">
        <w:rPr>
          <w:i/>
          <w:iCs/>
          <w:sz w:val="16"/>
        </w:rPr>
        <w:t>r</w:t>
      </w:r>
      <w:r w:rsidRPr="00CD64AE">
        <w:rPr>
          <w:sz w:val="16"/>
        </w:rPr>
        <w:t>.</w:t>
      </w:r>
    </w:p>
    <w:p w14:paraId="4EA585D7" w14:textId="77777777" w:rsidR="00CD64AE" w:rsidRPr="00CD64AE" w:rsidRDefault="00CD64AE" w:rsidP="00CD64AE">
      <w:pPr>
        <w:numPr>
          <w:ilvl w:val="0"/>
          <w:numId w:val="15"/>
        </w:numPr>
        <w:rPr>
          <w:sz w:val="16"/>
        </w:rPr>
      </w:pPr>
      <w:r w:rsidRPr="00CD64AE">
        <w:rPr>
          <w:b/>
          <w:bCs/>
          <w:sz w:val="16"/>
        </w:rPr>
        <w:t>Scaffolding of long edges with mate-pair support.</w:t>
      </w:r>
      <w:r w:rsidRPr="00CD64AE">
        <w:rPr>
          <w:sz w:val="16"/>
        </w:rPr>
        <w:t xml:space="preserve"> Scaffolding uses mate-pairs that have no valid path between their paired reads in the overlap graph because of a gap in genome coverage. Scaffolding is attempted for every pair of non-adjacent edges &gt;1000 </w:t>
      </w:r>
      <w:proofErr w:type="spellStart"/>
      <w:r w:rsidRPr="00CD64AE">
        <w:rPr>
          <w:sz w:val="16"/>
        </w:rPr>
        <w:t>bp.</w:t>
      </w:r>
      <w:proofErr w:type="spellEnd"/>
      <w:r w:rsidRPr="00CD64AE">
        <w:rPr>
          <w:sz w:val="16"/>
        </w:rPr>
        <w:t xml:space="preserve"> A mate-pair is considered to support the scaffolding of two edges if its two reads are uniquely mapped to the two edges at an appropriate distance apart. After processing all mate-pairs, the scaffolds of long edges with support of more than three mate-pairs are accepted.</w:t>
      </w:r>
    </w:p>
    <w:p w14:paraId="71BA09B1" w14:textId="53AB0722" w:rsidR="00CD64AE" w:rsidRPr="00CD64AE" w:rsidRDefault="00CD64AE" w:rsidP="00251E6C">
      <w:pPr>
        <w:numPr>
          <w:ilvl w:val="0"/>
          <w:numId w:val="15"/>
        </w:numPr>
      </w:pPr>
      <w:r w:rsidRPr="00CD64AE">
        <w:rPr>
          <w:b/>
          <w:bCs/>
          <w:sz w:val="16"/>
        </w:rPr>
        <w:t>Resolving ambiguity by coverage depth.</w:t>
      </w:r>
      <w:r w:rsidRPr="00CD64AE">
        <w:rPr>
          <w:sz w:val="16"/>
        </w:rPr>
        <w:t> Many unresolved vertices in the overlap graph have two incoming edges and two outgoing edges, which often originate from a short repeat region between two different genomes. The two genomes may have different coverage depths to separate their edges. The coverage depth is calculated for every position along an edge to estimate the mean </w:t>
      </w:r>
      <w:r w:rsidRPr="00CD64AE">
        <w:rPr>
          <w:i/>
          <w:iCs/>
          <w:sz w:val="16"/>
        </w:rPr>
        <w:t>δ</w:t>
      </w:r>
      <w:r w:rsidRPr="00CD64AE">
        <w:rPr>
          <w:sz w:val="16"/>
        </w:rPr>
        <w:t> and SD </w:t>
      </w:r>
      <w:r w:rsidRPr="00CD64AE">
        <w:rPr>
          <w:i/>
          <w:iCs/>
          <w:sz w:val="16"/>
        </w:rPr>
        <w:t>θ</w:t>
      </w:r>
      <w:r w:rsidRPr="00CD64AE">
        <w:rPr>
          <w:sz w:val="16"/>
        </w:rPr>
        <w:t xml:space="preserve"> of coverage depth </w:t>
      </w:r>
      <w:r w:rsidR="009E74BF">
        <w:rPr>
          <w:noProof/>
        </w:rPr>
        <w:lastRenderedPageBreak/>
        <w:drawing>
          <wp:anchor distT="0" distB="0" distL="114300" distR="114300" simplePos="0" relativeHeight="251659776" behindDoc="0" locked="0" layoutInCell="1" allowOverlap="1" wp14:anchorId="2C45BD41" wp14:editId="26E640A4">
            <wp:simplePos x="0" y="0"/>
            <wp:positionH relativeFrom="column">
              <wp:posOffset>1408430</wp:posOffset>
            </wp:positionH>
            <wp:positionV relativeFrom="paragraph">
              <wp:posOffset>111760</wp:posOffset>
            </wp:positionV>
            <wp:extent cx="3886200" cy="2916555"/>
            <wp:effectExtent l="0" t="0" r="0" b="4445"/>
            <wp:wrapTopAndBottom/>
            <wp:docPr id="4" name="Picture 4" descr="OmegaFig_1_2/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Fig_1_2/Slid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91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4AE">
        <w:rPr>
          <w:sz w:val="16"/>
        </w:rPr>
        <w:t>along the edge. Only unique reads in an edge are considered for coverage depth calculation. A pair of adjacent edges on an unresolved vertex are merged if | </w:t>
      </w:r>
      <w:r w:rsidRPr="00CD64AE">
        <w:rPr>
          <w:i/>
          <w:iCs/>
          <w:sz w:val="16"/>
        </w:rPr>
        <w:t>δ</w:t>
      </w:r>
      <w:r w:rsidRPr="00CD64AE">
        <w:rPr>
          <w:sz w:val="16"/>
          <w:vertAlign w:val="subscript"/>
        </w:rPr>
        <w:t>1</w:t>
      </w:r>
      <w:r w:rsidRPr="00CD64AE">
        <w:rPr>
          <w:sz w:val="16"/>
        </w:rPr>
        <w:t> –</w:t>
      </w:r>
      <w:r w:rsidRPr="00CD64AE">
        <w:rPr>
          <w:i/>
          <w:iCs/>
          <w:sz w:val="16"/>
        </w:rPr>
        <w:t>δ</w:t>
      </w:r>
      <w:r w:rsidRPr="00CD64AE">
        <w:rPr>
          <w:sz w:val="16"/>
          <w:vertAlign w:val="subscript"/>
        </w:rPr>
        <w:t>2</w:t>
      </w:r>
      <w:r w:rsidRPr="00CD64AE">
        <w:rPr>
          <w:sz w:val="16"/>
        </w:rPr>
        <w:t> | &lt; </w:t>
      </w:r>
      <w:r w:rsidRPr="00CD64AE">
        <w:rPr>
          <w:i/>
          <w:iCs/>
          <w:sz w:val="16"/>
        </w:rPr>
        <w:t>θ</w:t>
      </w:r>
      <w:r w:rsidRPr="00CD64AE">
        <w:rPr>
          <w:sz w:val="16"/>
          <w:vertAlign w:val="subscript"/>
        </w:rPr>
        <w:t>1</w:t>
      </w:r>
      <w:r w:rsidRPr="00CD64AE">
        <w:rPr>
          <w:sz w:val="16"/>
        </w:rPr>
        <w:t> + </w:t>
      </w:r>
      <w:r w:rsidRPr="00CD64AE">
        <w:rPr>
          <w:i/>
          <w:iCs/>
          <w:sz w:val="16"/>
        </w:rPr>
        <w:t>θ</w:t>
      </w:r>
      <w:r w:rsidRPr="00CD64AE">
        <w:rPr>
          <w:sz w:val="16"/>
          <w:vertAlign w:val="subscript"/>
        </w:rPr>
        <w:t>2</w:t>
      </w:r>
      <w:r w:rsidRPr="00CD64AE">
        <w:rPr>
          <w:sz w:val="16"/>
        </w:rPr>
        <w:t>.</w:t>
      </w:r>
    </w:p>
    <w:p w14:paraId="6F564235" w14:textId="75A3E9A0" w:rsidR="00251E6C" w:rsidRDefault="00D1582A" w:rsidP="009E74BF">
      <w:pPr>
        <w:pStyle w:val="Heading2"/>
      </w:pPr>
      <w:r>
        <w:t xml:space="preserve"> </w:t>
      </w:r>
      <w:r w:rsidR="004834F2">
        <w:t xml:space="preserve">Hash Table and </w:t>
      </w:r>
      <w:r>
        <w:t xml:space="preserve">Distributed Read </w:t>
      </w:r>
      <w:r w:rsidRPr="00584A70">
        <w:t xml:space="preserve">Data </w:t>
      </w:r>
      <w:r>
        <w:t>Storage</w:t>
      </w:r>
      <w:r w:rsidRPr="00584A70">
        <w:t xml:space="preserve"> </w:t>
      </w:r>
    </w:p>
    <w:p w14:paraId="78C17F19" w14:textId="4360C334" w:rsidR="004A70D1" w:rsidRDefault="00CD64AE" w:rsidP="00251E6C">
      <w:pPr>
        <w:pStyle w:val="para-first"/>
      </w:pPr>
      <w:r>
        <w:t>The hash table described in section 3.1.1 is the major read storage that can be distributed and stored across all nodes</w:t>
      </w:r>
      <w:r w:rsidR="00CD30F5">
        <w:t xml:space="preserve"> (Fig 1.)</w:t>
      </w:r>
      <w:r>
        <w:t>.</w:t>
      </w:r>
      <w:r w:rsidR="00CD30F5">
        <w:t xml:space="preserve"> </w:t>
      </w:r>
      <w:r w:rsidR="00CD30F5" w:rsidRPr="00CD64AE">
        <w:t>All reads are loaded to the memory and indexed in a</w:t>
      </w:r>
      <w:r w:rsidR="00CD30F5">
        <w:t xml:space="preserve"> partially</w:t>
      </w:r>
      <w:r w:rsidR="00CD30F5" w:rsidRPr="00CD64AE">
        <w:t xml:space="preserve"> </w:t>
      </w:r>
      <w:r w:rsidR="00CD30F5">
        <w:t xml:space="preserve">distributed </w:t>
      </w:r>
      <w:r w:rsidR="00CD30F5" w:rsidRPr="00CD64AE">
        <w:t>hash table</w:t>
      </w:r>
      <w:r w:rsidR="00CD30F5">
        <w:t xml:space="preserve"> for fast lookup. </w:t>
      </w:r>
      <w:r w:rsidR="00CD30F5" w:rsidRPr="00CD64AE">
        <w:t xml:space="preserve"> Let </w:t>
      </w:r>
      <w:r w:rsidR="00CD30F5" w:rsidRPr="00CD64AE">
        <w:rPr>
          <w:i/>
          <w:iCs/>
        </w:rPr>
        <w:t>K</w:t>
      </w:r>
      <w:r w:rsidR="00CD30F5" w:rsidRPr="00CD64AE">
        <w:t> be the user-defined minimum overlap length. The keys of the hash table are DNA sequence substrings of length </w:t>
      </w:r>
      <w:r w:rsidR="00CD30F5" w:rsidRPr="00CD64AE">
        <w:rPr>
          <w:i/>
          <w:iCs/>
        </w:rPr>
        <w:t xml:space="preserve">K </w:t>
      </w:r>
      <w:r w:rsidR="00CD30F5">
        <w:rPr>
          <w:i/>
          <w:iCs/>
        </w:rPr>
        <w:t>–</w:t>
      </w:r>
      <w:r w:rsidR="00CD30F5" w:rsidRPr="00CD64AE">
        <w:rPr>
          <w:i/>
          <w:iCs/>
        </w:rPr>
        <w:t> </w:t>
      </w:r>
      <w:r w:rsidR="00CD30F5" w:rsidRPr="00CD64AE">
        <w:t>1</w:t>
      </w:r>
      <w:r w:rsidR="00CD30F5">
        <w:t xml:space="preserve">; 4 for each read corresponding to the </w:t>
      </w:r>
      <w:r w:rsidR="00CD30F5" w:rsidRPr="00CD64AE">
        <w:t>prefix and suffix of length </w:t>
      </w:r>
      <w:r w:rsidR="00CD30F5" w:rsidRPr="00CD64AE">
        <w:rPr>
          <w:i/>
          <w:iCs/>
        </w:rPr>
        <w:t>K − </w:t>
      </w:r>
      <w:r w:rsidR="00CD30F5" w:rsidRPr="00CD64AE">
        <w:t>1 of both forward sequence and reverse</w:t>
      </w:r>
      <w:r w:rsidR="001D0164">
        <w:t xml:space="preserve"> complement sequence</w:t>
      </w:r>
      <w:r w:rsidR="00CD30F5">
        <w:t xml:space="preserve"> respectively</w:t>
      </w:r>
      <w:r w:rsidR="00CD30F5" w:rsidRPr="00CD64AE">
        <w:t>.</w:t>
      </w:r>
      <w:r w:rsidR="00CD30F5">
        <w:t xml:space="preserve"> </w:t>
      </w:r>
      <w:r w:rsidR="001D0164">
        <w:t>To reduce the number of times the read is s</w:t>
      </w:r>
      <w:r w:rsidR="00106E0A">
        <w:t xml:space="preserve">tored in the hash table we apply a hash function that generates for same key for the prefix </w:t>
      </w:r>
      <w:r w:rsidR="00A41FAE">
        <w:t xml:space="preserve">of the </w:t>
      </w:r>
      <w:r w:rsidR="00106E0A">
        <w:t xml:space="preserve">forward </w:t>
      </w:r>
      <w:r w:rsidR="00A41FAE">
        <w:t xml:space="preserve">sequence </w:t>
      </w:r>
      <w:r w:rsidR="00106E0A">
        <w:t xml:space="preserve">and the </w:t>
      </w:r>
      <w:r w:rsidR="00A41FAE">
        <w:t xml:space="preserve">suffix od the reverse complement sequence. Similarly, </w:t>
      </w:r>
      <w:r w:rsidR="001D0164">
        <w:t>the</w:t>
      </w:r>
      <w:r w:rsidR="00A41FAE">
        <w:t xml:space="preserve"> key generated for the suffix of the </w:t>
      </w:r>
      <w:r w:rsidR="001D0164">
        <w:t>forward</w:t>
      </w:r>
      <w:r w:rsidR="00A41FAE">
        <w:t xml:space="preserve"> sequence and</w:t>
      </w:r>
      <w:r w:rsidR="001D0164">
        <w:t xml:space="preserve"> prefix</w:t>
      </w:r>
      <w:r w:rsidR="00A41FAE">
        <w:t xml:space="preserve"> of the reverse complement sequence is the same. This allows us to store the read only twice in the hash table</w:t>
      </w:r>
      <w:r w:rsidR="004A70D1">
        <w:t xml:space="preserve"> instead of all 4 times for all 4 substrings.  We store a single orientation bit along with other read metadata such as read identifier and length for </w:t>
      </w:r>
      <w:r w:rsidR="00A41FAE">
        <w:t>different</w:t>
      </w:r>
      <w:r w:rsidR="004A70D1">
        <w:t>iating</w:t>
      </w:r>
      <w:r w:rsidR="00A41FAE">
        <w:t xml:space="preserve"> between the</w:t>
      </w:r>
      <w:r w:rsidR="004A70D1">
        <w:t xml:space="preserve"> prefix or </w:t>
      </w:r>
      <w:r w:rsidR="00A41FAE">
        <w:t xml:space="preserve">suffix. </w:t>
      </w:r>
      <w:r w:rsidR="004A70D1">
        <w:t xml:space="preserve">This bit is used to correctly compute the orientation of a hit when querying the hash table. </w:t>
      </w:r>
    </w:p>
    <w:p w14:paraId="722D75A8" w14:textId="77777777" w:rsidR="00400927" w:rsidRDefault="00400927" w:rsidP="00251E6C">
      <w:pPr>
        <w:pStyle w:val="para-first"/>
      </w:pPr>
    </w:p>
    <w:p w14:paraId="6AF4A7CB" w14:textId="2316F925" w:rsidR="00A41FAE" w:rsidRDefault="00400927" w:rsidP="00251E6C">
      <w:pPr>
        <w:pStyle w:val="para-first"/>
      </w:pPr>
      <w:r>
        <w:t xml:space="preserve">   </w:t>
      </w:r>
      <w:r w:rsidR="004A70D1">
        <w:t>One major design consideration while distributing the hashed read across multiple processes is that sequences hashing to the same value must the stored together on the same node. Otherwise, each hash lookup will result is more than one costly remote memory access operation</w:t>
      </w:r>
      <w:r w:rsidR="00743C73">
        <w:t>. A main consideration in our</w:t>
      </w:r>
      <w:r w:rsidR="004A70D1">
        <w:t xml:space="preserve"> design of the distributed hash table is to ensure minimum number of remote access operation. Therefore, we introduced a local hash index table</w:t>
      </w:r>
      <w:r w:rsidR="00743C73">
        <w:t xml:space="preserve"> to store the global index of each hash block</w:t>
      </w:r>
      <w:r w:rsidR="004A70D1">
        <w:t>. This local hash index table initially counts the number of bytes required to store all the read entries for each hash key</w:t>
      </w:r>
      <w:r w:rsidR="00743C73">
        <w:t xml:space="preserve"> in a preprocessing step</w:t>
      </w:r>
      <w:r w:rsidR="004A70D1">
        <w:t>.</w:t>
      </w:r>
      <w:r w:rsidR="00743C73">
        <w:t xml:space="preserve"> This information allows to</w:t>
      </w:r>
      <w:r w:rsidR="004A70D1">
        <w:t xml:space="preserve"> equally distribute the </w:t>
      </w:r>
      <w:r w:rsidR="00743C73">
        <w:t xml:space="preserve">hash data across nodes and then a cumulative sum operation on the local hash index table gives us the global index for each hash key. This global index can be used to determine the rank of the MPI process storing the hash data and the local index of the hash data within that process’s </w:t>
      </w:r>
      <w:r w:rsidR="00C33B0F">
        <w:t>remote memory access</w:t>
      </w:r>
      <w:r w:rsidR="00743C73">
        <w:t xml:space="preserve"> window. </w:t>
      </w:r>
      <w:r w:rsidR="00C33B0F">
        <w:t xml:space="preserve">The length of the block of data to be fetched can be computed by looking and the global index of the next hash key and subtracting from it the queried global index. With these three bits of information i.e. rank, local index and length we can initiate a </w:t>
      </w:r>
      <w:proofErr w:type="spellStart"/>
      <w:r w:rsidR="00C33B0F">
        <w:t>MPI_Get</w:t>
      </w:r>
      <w:proofErr w:type="spellEnd"/>
      <w:r w:rsidR="00C33B0F">
        <w:t xml:space="preserve"> operation to lookup remote memory</w:t>
      </w:r>
      <w:r>
        <w:t xml:space="preserve"> and receive all the reads hashed to a particular key in one operation. </w:t>
      </w:r>
    </w:p>
    <w:p w14:paraId="30BB7EB1" w14:textId="63D7E72F" w:rsidR="00C22DEA" w:rsidRDefault="00400927" w:rsidP="00C22DEA">
      <w:pPr>
        <w:pStyle w:val="para-first"/>
      </w:pPr>
      <w:r>
        <w:t xml:space="preserve">   </w:t>
      </w:r>
      <w:r w:rsidR="00CD30F5">
        <w:t xml:space="preserve">The same design of the hash table is used by the </w:t>
      </w:r>
      <w:proofErr w:type="spellStart"/>
      <w:r w:rsidR="00CD30F5">
        <w:t>OpenMP</w:t>
      </w:r>
      <w:proofErr w:type="spellEnd"/>
      <w:r w:rsidR="00CD30F5">
        <w:t xml:space="preserve"> and MPI </w:t>
      </w:r>
      <w:proofErr w:type="spellStart"/>
      <w:r w:rsidR="00CD30F5">
        <w:t>HighMem</w:t>
      </w:r>
      <w:proofErr w:type="spellEnd"/>
      <w:r w:rsidR="00CD30F5">
        <w:t xml:space="preserve"> versions with all the data blocks being stored on a single node and therefore requiring no </w:t>
      </w:r>
      <w:r>
        <w:t>remote memory</w:t>
      </w:r>
      <w:r w:rsidR="00CD30F5">
        <w:t xml:space="preserve"> operations</w:t>
      </w:r>
      <w:r w:rsidR="004834F2">
        <w:t>.</w:t>
      </w:r>
    </w:p>
    <w:p w14:paraId="019427FD" w14:textId="3366AAEF" w:rsidR="00C22DEA" w:rsidRDefault="00C22DEA" w:rsidP="009E74BF">
      <w:pPr>
        <w:pStyle w:val="Heading2"/>
      </w:pPr>
      <w:r>
        <w:t xml:space="preserve">Distributed </w:t>
      </w:r>
      <w:r w:rsidR="009E74BF">
        <w:t xml:space="preserve">Data Transfer and Synchronization </w:t>
      </w:r>
    </w:p>
    <w:p w14:paraId="2BCEBBE0" w14:textId="23E59702" w:rsidR="00C22DEA" w:rsidRDefault="0090585F" w:rsidP="00C22DEA">
      <w:pPr>
        <w:pStyle w:val="para-first"/>
      </w:pPr>
      <w:r w:rsidRPr="0090585F">
        <w:rPr>
          <w:noProof/>
        </w:rPr>
        <w:drawing>
          <wp:anchor distT="0" distB="0" distL="114300" distR="114300" simplePos="0" relativeHeight="251660800" behindDoc="0" locked="0" layoutInCell="1" allowOverlap="1" wp14:anchorId="52739167" wp14:editId="3EDBE78D">
            <wp:simplePos x="0" y="0"/>
            <wp:positionH relativeFrom="column">
              <wp:posOffset>480695</wp:posOffset>
            </wp:positionH>
            <wp:positionV relativeFrom="paragraph">
              <wp:posOffset>942340</wp:posOffset>
            </wp:positionV>
            <wp:extent cx="2124075" cy="81597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4075" cy="815975"/>
                    </a:xfrm>
                    <a:prstGeom prst="rect">
                      <a:avLst/>
                    </a:prstGeom>
                  </pic:spPr>
                </pic:pic>
              </a:graphicData>
            </a:graphic>
            <wp14:sizeRelH relativeFrom="page">
              <wp14:pctWidth>0</wp14:pctWidth>
            </wp14:sizeRelH>
            <wp14:sizeRelV relativeFrom="page">
              <wp14:pctHeight>0</wp14:pctHeight>
            </wp14:sizeRelV>
          </wp:anchor>
        </w:drawing>
      </w:r>
      <w:r w:rsidR="00C22DEA">
        <w:t xml:space="preserve">The </w:t>
      </w:r>
      <w:r w:rsidR="004834F2">
        <w:t xml:space="preserve">distributed </w:t>
      </w:r>
      <w:r w:rsidR="00C22DEA">
        <w:t xml:space="preserve">hash </w:t>
      </w:r>
      <w:r w:rsidR="004834F2">
        <w:t>data storage described in section 3.2</w:t>
      </w:r>
      <w:r w:rsidR="00C22DEA">
        <w:t xml:space="preserve"> is</w:t>
      </w:r>
      <w:r>
        <w:t xml:space="preserve"> highly</w:t>
      </w:r>
      <w:r w:rsidR="00C22DEA">
        <w:t xml:space="preserve"> </w:t>
      </w:r>
      <w:r w:rsidR="004834F2">
        <w:t>effi</w:t>
      </w:r>
      <w:r>
        <w:t xml:space="preserve">cient and performs no more than 1 remote memory operation for one hash lookup. Hash lookups are used for determining the potential set of overlapping reads for a given read. Computing all overlapping edges of a read requires N-K+1 hash lookups with each such operation requiring 1 costly remote access. </w:t>
      </w:r>
    </w:p>
    <w:p w14:paraId="7A5E63E8" w14:textId="3323D91F" w:rsidR="0090585F" w:rsidRDefault="0090585F" w:rsidP="00C22DEA">
      <w:pPr>
        <w:pStyle w:val="para-first"/>
      </w:pPr>
      <w:r>
        <w:t xml:space="preserve">Consider the read alignment in the figure above. The large number hash lookups for the read R1 will also be performed for R2 and again repeated for R3. To avoid such repeated remote memory </w:t>
      </w:r>
      <w:r w:rsidR="00D57B60">
        <w:t>accesses,</w:t>
      </w:r>
      <w:r>
        <w:t xml:space="preserve"> we use a hash data cache that stores the ash lookup results locally. We use least recently used cache algorithm to cache remote data</w:t>
      </w:r>
      <w:r w:rsidR="00D57B60">
        <w:t xml:space="preserve"> and improve performance. </w:t>
      </w:r>
    </w:p>
    <w:p w14:paraId="6AC8C469" w14:textId="77777777" w:rsidR="00D57B60" w:rsidRDefault="00D57B60" w:rsidP="00C22DEA">
      <w:pPr>
        <w:pStyle w:val="para-first"/>
      </w:pPr>
    </w:p>
    <w:p w14:paraId="014D402D" w14:textId="3B8C83D2" w:rsidR="00D57B60" w:rsidRDefault="00D57B60" w:rsidP="00C22DEA">
      <w:pPr>
        <w:pStyle w:val="para-first"/>
      </w:pPr>
      <w:r>
        <w:t xml:space="preserve">Our MPI remote memory access algorithm assumes that MPI_THREAD_SERIALIZED is available and implemented by the MPI library. </w:t>
      </w:r>
    </w:p>
    <w:p w14:paraId="18A9EC94" w14:textId="77777777" w:rsidR="00D57B60" w:rsidRDefault="00D57B60" w:rsidP="00C22DEA">
      <w:pPr>
        <w:pStyle w:val="para-first"/>
      </w:pPr>
    </w:p>
    <w:p w14:paraId="49E5A2B6" w14:textId="2F4F9C90" w:rsidR="00D57B60" w:rsidRPr="00251E6C" w:rsidRDefault="00D57B60" w:rsidP="00C22DEA">
      <w:pPr>
        <w:pStyle w:val="para-first"/>
      </w:pPr>
      <w:r>
        <w:t xml:space="preserve">The graph construction process in each MPI process is further multithreaded. The main thread does not perform any computation </w:t>
      </w:r>
      <w:r w:rsidR="00D0301D">
        <w:t>but is o</w:t>
      </w:r>
      <w:r>
        <w:t xml:space="preserve">nly responsible for point to point MPI communication to reduce redundant neighborhood computation. </w:t>
      </w:r>
    </w:p>
    <w:p w14:paraId="6ABF4591" w14:textId="6AC0C875" w:rsidR="00C22DEA" w:rsidRPr="004E13A5" w:rsidRDefault="00C22DEA" w:rsidP="00C22DEA">
      <w:pPr>
        <w:pStyle w:val="para-first"/>
      </w:pPr>
    </w:p>
    <w:p w14:paraId="1FB5DD58" w14:textId="05AF3FDA" w:rsidR="00D83B8A" w:rsidRDefault="00EF5D71" w:rsidP="001A0125">
      <w:pPr>
        <w:pStyle w:val="Heading1"/>
      </w:pPr>
      <w:r>
        <w:lastRenderedPageBreak/>
        <w:t>R</w:t>
      </w:r>
      <w:r w:rsidR="00D83B8A">
        <w:t>esults</w:t>
      </w:r>
      <w:r w:rsidR="00952934">
        <w:t xml:space="preserve"> &amp; Implementation</w:t>
      </w:r>
    </w:p>
    <w:p w14:paraId="1EF929AD" w14:textId="1C9460AE" w:rsidR="00D83B8A" w:rsidRPr="004E13A5" w:rsidRDefault="009E74BF" w:rsidP="004E0596">
      <w:pPr>
        <w:pStyle w:val="para-first"/>
      </w:pPr>
      <w:r>
        <w:t xml:space="preserve">We </w:t>
      </w:r>
      <w:r w:rsidR="00952934">
        <w:t>performed two major experiments to test</w:t>
      </w:r>
      <w:r>
        <w:t xml:space="preserve"> the performance and accuracy </w:t>
      </w:r>
      <w:r w:rsidR="00952934">
        <w:t xml:space="preserve">of Omega3. We compare the accuracy of Omega3 against 6 other popular assemblers – </w:t>
      </w:r>
      <w:proofErr w:type="spellStart"/>
      <w:r w:rsidR="00952934">
        <w:t>SPADes</w:t>
      </w:r>
      <w:proofErr w:type="spellEnd"/>
      <w:r w:rsidR="007F7792">
        <w:t xml:space="preserve"> </w:t>
      </w:r>
      <w:r w:rsidR="007F7792">
        <w:fldChar w:fldCharType="begin" w:fldLock="1"/>
      </w:r>
      <w:r w:rsidR="007F7792">
        <w:instrText>ADDIN CSL_CITATION { "citationItems" : [ { "id" : "ITEM-1", "itemData" : { "DOI" : "10.1089/cmb.2012.0021", "ISSN" : "1066-5277",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"genre" : "JOUR", "id" : "ITEM-1", "issue" : "5", "issued" : { "date-parts" : [ [ "2012", "4", "16" ] ] }, "note" : "doi: 10.1089/cmb.2012.0021", "page" : "455-477", "publisher" : "Mary Ann Liebert, Inc., publishers", "title" : "SPAdes: A New Genome Assembly Algorithm and Its Applications to Single-Cell Sequencing", "type" : "article-journal", "volume" : "19" }, "uris" : [ "http://www.mendeley.com/documents/?uuid=97ae46f3-262e-4ac9-94e1-75db97fd8974" ] } ], "mendeley" : { "formattedCitation" : "(Bankevich &lt;i&gt;et al.&lt;/i&gt;, 2012)", "plainTextFormattedCitation" : "(Bankevich et al., 2012)", "previouslyFormattedCitation" : "(Bankevich &lt;i&gt;et al.&lt;/i&gt;, 2012)" }, "properties" : { "noteIndex" : 0 }, "schema" : "https://github.com/citation-style-language/schema/raw/master/csl-citation.json" }</w:instrText>
      </w:r>
      <w:r w:rsidR="007F7792">
        <w:fldChar w:fldCharType="separate"/>
      </w:r>
      <w:r w:rsidR="007F7792" w:rsidRPr="007F7792">
        <w:rPr>
          <w:noProof/>
        </w:rPr>
        <w:t xml:space="preserve">(Bankevich </w:t>
      </w:r>
      <w:r w:rsidR="007F7792" w:rsidRPr="007F7792">
        <w:rPr>
          <w:i/>
          <w:noProof/>
        </w:rPr>
        <w:t>et al.</w:t>
      </w:r>
      <w:r w:rsidR="007F7792" w:rsidRPr="007F7792">
        <w:rPr>
          <w:noProof/>
        </w:rPr>
        <w:t>, 2012)</w:t>
      </w:r>
      <w:r w:rsidR="007F7792">
        <w:fldChar w:fldCharType="end"/>
      </w:r>
      <w:r w:rsidR="00952934">
        <w:t xml:space="preserve">, </w:t>
      </w:r>
      <w:proofErr w:type="spellStart"/>
      <w:r w:rsidR="00952934">
        <w:t>ABySS</w:t>
      </w:r>
      <w:proofErr w:type="spellEnd"/>
      <w:r w:rsidR="00952934">
        <w:t xml:space="preserve">, </w:t>
      </w:r>
      <w:proofErr w:type="spellStart"/>
      <w:r w:rsidR="00952934">
        <w:t>MegaHit</w:t>
      </w:r>
      <w:proofErr w:type="spellEnd"/>
      <w:r w:rsidR="00655982">
        <w:t xml:space="preserve"> </w:t>
      </w:r>
      <w:r w:rsidR="00655982">
        <w:fldChar w:fldCharType="begin" w:fldLock="1"/>
      </w:r>
      <w:r w:rsidR="007F7792">
        <w:instrText>ADDIN CSL_CITATION { "citationItems" : [ { "id" : "ITEM-1", "itemData" : { "DOI" : "10.1093/bioinformatics/btv033 ", "abstract" : "Summary: MEGAHIT is a NGS de novo assembler for assembling large and complex metagenomics data in a time- and cost-efficient manner. It finished assembling a soil metagenomics dataset with 252\u2009Gbps in 44.1 and 99.6\u2009h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improvement.Availability and implementation: The source code of MEGAHIT is freely available at https://github.com/voutcn/megahit under GPLv3 license.Contact: rb@l3-bioinfo.com or twlam@cs.hku.hkSupplementary information: Supplementary data are available at Bioinformatics online. ", "author" : [ { "dropping-particle" : "", "family" : "Li", "given" : "Dinghua", "non-dropping-particle" : "", "parse-names" : false, "suffix" : "" }, { "dropping-particle" : "", "family" : "Liu", "given" : "Chi-Man", "non-dropping-particle" : "", "parse-names" : false, "suffix" : "" }, { "dropping-particle" : "", "family" : "Luo", "given" : "Ruibang", "non-dropping-particle" : "", "parse-names" : false, "suffix" : "" }, { "dropping-particle" : "", "family" : "Sadakane", "given" : "Kunihiko", "non-dropping-particle" : "", "parse-names" : false, "suffix" : "" }, { "dropping-particle" : "", "family" : "Lam", "given" : "Tak-Wah", "non-dropping-particle" : "", "parse-names" : false, "suffix" : "" } ], "container-title" : "Bioinformatics ", "genre" : "JOUR", "id" : "ITEM-1", "issue" : "10 ", "issued" : { "date-parts" : [ [ "2015", "5", "15" ] ] }, "note" : "10.1093/bioinformatics/btv033", "page" : "1674-1676", "title" : "MEGAHIT: an ultra-fast single-node solution for large and complex metagenomics assembly via succinct de Bruijn graph", "type" : "article-journal", "volume" : "31 " }, "uris" : [ "http://www.mendeley.com/documents/?uuid=c5b3289d-5456-45ae-b34c-52366eefe8b8" ] } ], "mendeley" : { "formattedCitation" : "(Li &lt;i&gt;et al.&lt;/i&gt;, 2015)", "plainTextFormattedCitation" : "(Li et al., 2015)", "previouslyFormattedCitation" : "(Li &lt;i&gt;et al.&lt;/i&gt;, 2015)" }, "properties" : { "noteIndex" : 0 }, "schema" : "https://github.com/citation-style-language/schema/raw/master/csl-citation.json" }</w:instrText>
      </w:r>
      <w:r w:rsidR="00655982">
        <w:fldChar w:fldCharType="separate"/>
      </w:r>
      <w:r w:rsidR="00B03494" w:rsidRPr="00B03494">
        <w:rPr>
          <w:noProof/>
        </w:rPr>
        <w:t xml:space="preserve">(Li </w:t>
      </w:r>
      <w:r w:rsidR="00B03494" w:rsidRPr="00B03494">
        <w:rPr>
          <w:i/>
          <w:noProof/>
        </w:rPr>
        <w:t>et al.</w:t>
      </w:r>
      <w:r w:rsidR="00B03494" w:rsidRPr="00B03494">
        <w:rPr>
          <w:noProof/>
        </w:rPr>
        <w:t>, 2015)</w:t>
      </w:r>
      <w:r w:rsidR="00655982">
        <w:fldChar w:fldCharType="end"/>
      </w:r>
      <w:r w:rsidR="00952934">
        <w:t xml:space="preserve">, </w:t>
      </w:r>
      <w:proofErr w:type="spellStart"/>
      <w:r w:rsidR="00952934">
        <w:t>MetaVelvet</w:t>
      </w:r>
      <w:proofErr w:type="spellEnd"/>
      <w:r w:rsidR="00655982">
        <w:t xml:space="preserve"> </w:t>
      </w:r>
      <w:r w:rsidR="00952934">
        <w:t xml:space="preserve">, RAY and </w:t>
      </w:r>
      <w:proofErr w:type="spellStart"/>
      <w:r w:rsidR="00952934">
        <w:t>HipMer</w:t>
      </w:r>
      <w:proofErr w:type="spellEnd"/>
      <w:r w:rsidR="00952934">
        <w:t xml:space="preserve">. The performance comparisons for the </w:t>
      </w:r>
      <w:proofErr w:type="spellStart"/>
      <w:r w:rsidR="00952934">
        <w:t>OpenMP</w:t>
      </w:r>
      <w:proofErr w:type="spellEnd"/>
      <w:r w:rsidR="00952934">
        <w:t xml:space="preserve"> version of Omega3 is shown against all the 6 above assembler. The MPI </w:t>
      </w:r>
      <w:proofErr w:type="spellStart"/>
      <w:r w:rsidR="00952934">
        <w:t>HignMem</w:t>
      </w:r>
      <w:proofErr w:type="spellEnd"/>
      <w:r w:rsidR="00952934">
        <w:t xml:space="preserve"> and RMA version of Omega3 are compared against RAY and </w:t>
      </w:r>
      <w:proofErr w:type="spellStart"/>
      <w:r w:rsidR="00952934">
        <w:t>HipMer</w:t>
      </w:r>
      <w:proofErr w:type="spellEnd"/>
      <w:r w:rsidR="00952934">
        <w:t xml:space="preserve"> which </w:t>
      </w:r>
      <w:r w:rsidR="00643144">
        <w:t xml:space="preserve">can scale to many nodes. </w:t>
      </w:r>
    </w:p>
    <w:p w14:paraId="57C087DF" w14:textId="1B279111" w:rsidR="00D83B8A" w:rsidRPr="00584A70" w:rsidRDefault="009E74BF" w:rsidP="009E74BF">
      <w:pPr>
        <w:pStyle w:val="Heading2"/>
      </w:pPr>
      <w:r>
        <w:t>Accuracy</w:t>
      </w:r>
    </w:p>
    <w:p w14:paraId="10294E6E" w14:textId="10E41415" w:rsidR="00D83B8A" w:rsidRPr="00473EDA" w:rsidRDefault="009E74BF" w:rsidP="004E0596">
      <w:pPr>
        <w:pStyle w:val="para-first"/>
      </w:pPr>
      <w:r>
        <w:t>We compare Omega3 accuracy with 5 other assemblers</w:t>
      </w:r>
      <w:r w:rsidR="00423247">
        <w:t xml:space="preserve"> and </w:t>
      </w:r>
      <w:proofErr w:type="gramStart"/>
      <w:r w:rsidR="00423247">
        <w:t xml:space="preserve">report </w:t>
      </w:r>
      <w:r>
        <w:t>.</w:t>
      </w:r>
      <w:proofErr w:type="gramEnd"/>
      <w:r>
        <w:t xml:space="preserve"> </w:t>
      </w:r>
    </w:p>
    <w:p w14:paraId="1A58BD57" w14:textId="7FEA247A" w:rsidR="00643144" w:rsidRPr="009D0B6E" w:rsidRDefault="00D83B8A" w:rsidP="002D3B6B">
      <w:pPr>
        <w:pStyle w:val="Heading3"/>
      </w:pPr>
      <w:r w:rsidRPr="009D0B6E">
        <w:t>3.</w:t>
      </w:r>
      <w:r w:rsidR="00643144">
        <w:t>4</w:t>
      </w:r>
      <w:r w:rsidRPr="009D0B6E">
        <w:t>.</w:t>
      </w:r>
      <w:r w:rsidR="00AB08E4" w:rsidRPr="009D0B6E">
        <w:t>1</w:t>
      </w:r>
      <w:r w:rsidRPr="009D0B6E">
        <w:t> </w:t>
      </w:r>
      <w:r w:rsidR="00643144">
        <w:t>Evaluation Metrics</w:t>
      </w:r>
    </w:p>
    <w:p w14:paraId="7995DD8B" w14:textId="706EE34B" w:rsidR="00B03494" w:rsidRDefault="00423247" w:rsidP="00423247">
      <w:pPr>
        <w:pStyle w:val="NumberedListlast"/>
        <w:numPr>
          <w:ilvl w:val="0"/>
          <w:numId w:val="0"/>
        </w:numPr>
        <w:spacing w:after="240"/>
        <w:rPr>
          <w:sz w:val="16"/>
          <w:szCs w:val="16"/>
        </w:rPr>
      </w:pPr>
      <w:r>
        <w:rPr>
          <w:sz w:val="16"/>
          <w:szCs w:val="16"/>
        </w:rPr>
        <w:t xml:space="preserve">We use </w:t>
      </w:r>
      <w:proofErr w:type="spellStart"/>
      <w:r w:rsidR="00B03494">
        <w:rPr>
          <w:sz w:val="16"/>
          <w:szCs w:val="16"/>
        </w:rPr>
        <w:t>Meta</w:t>
      </w:r>
      <w:r>
        <w:rPr>
          <w:sz w:val="16"/>
          <w:szCs w:val="16"/>
        </w:rPr>
        <w:t>QUAST</w:t>
      </w:r>
      <w:proofErr w:type="spellEnd"/>
      <w:r>
        <w:rPr>
          <w:sz w:val="16"/>
          <w:szCs w:val="16"/>
        </w:rPr>
        <w:t xml:space="preserve"> tool to asse</w:t>
      </w:r>
      <w:r w:rsidR="00B03494">
        <w:rPr>
          <w:sz w:val="16"/>
          <w:szCs w:val="16"/>
        </w:rPr>
        <w:t xml:space="preserve">ss the quality of assembly </w:t>
      </w:r>
      <w:r w:rsidR="00B03494">
        <w:rPr>
          <w:sz w:val="16"/>
          <w:szCs w:val="16"/>
        </w:rPr>
        <w:fldChar w:fldCharType="begin" w:fldLock="1"/>
      </w:r>
      <w:r w:rsidR="007F7792">
        <w:rPr>
          <w:sz w:val="16"/>
          <w:szCs w:val="16"/>
        </w:rPr>
        <w:instrText>ADDIN CSL_CITATION { "citationItems" : [ { "id" : "ITEM-1", "itemData" : { "DOI" : "10.1093/bioinformatics/btt086 ", "abstract" : "Summary: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QUAST\u2014a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website.Availability: http://bioinf.spbau.ru/quastContact: gurevich@bioinf.spbau.ruSupplementary information: Supplementary data are available at Bioinformatics online. ", "author" : [ { "dropping-particle" : "", "family" : "Gurevich", "given" : "Alexey", "non-dropping-particle" : "", "parse-names" : false, "suffix" : "" }, { "dropping-particle" : "", "family" : "Saveliev", "given" : "Vladislav", "non-dropping-particle" : "", "parse-names" : false, "suffix" : "" }, { "dropping-particle" : "", "family" : "Vyahhi", "given" : "Nikolay", "non-dropping-particle" : "", "parse-names" : false, "suffix" : "" }, { "dropping-particle" : "", "family" : "Tesler", "given" : "Glenn", "non-dropping-particle" : "", "parse-names" : false, "suffix" : "" } ], "container-title" : "Bioinformatics ", "genre" : "JOUR", "id" : "ITEM-1", "issue" : "8 ", "issued" : { "date-parts" : [ [ "2013", "4", "15" ] ] }, "note" : "10.1093/bioinformatics/btt086", "page" : "1072-1075", "title" : "QUAST: quality assessment tool for genome assemblies", "type" : "article-journal", "volume" : "29 " }, "uris" : [ "http://www.mendeley.com/documents/?uuid=c6ff05dc-e987-4f2d-917b-09b38cbb0e51" ] } ], "mendeley" : { "formattedCitation" : "(Gurevich &lt;i&gt;et al.&lt;/i&gt;, 2013)", "plainTextFormattedCitation" : "(Gurevich et al., 2013)", "previouslyFormattedCitation" : "(Gurevich &lt;i&gt;et al.&lt;/i&gt;, 2013)" }, "properties" : { "noteIndex" : 0 }, "schema" : "https://github.com/citation-style-language/schema/raw/master/csl-citation.json" }</w:instrText>
      </w:r>
      <w:r w:rsidR="00B03494">
        <w:rPr>
          <w:sz w:val="16"/>
          <w:szCs w:val="16"/>
        </w:rPr>
        <w:fldChar w:fldCharType="separate"/>
      </w:r>
      <w:r w:rsidR="00B03494" w:rsidRPr="00B03494">
        <w:rPr>
          <w:noProof/>
          <w:sz w:val="16"/>
          <w:szCs w:val="16"/>
        </w:rPr>
        <w:t xml:space="preserve">(Gurevich </w:t>
      </w:r>
      <w:r w:rsidR="00B03494" w:rsidRPr="00B03494">
        <w:rPr>
          <w:i/>
          <w:noProof/>
          <w:sz w:val="16"/>
          <w:szCs w:val="16"/>
        </w:rPr>
        <w:t>et al.</w:t>
      </w:r>
      <w:r w:rsidR="00B03494" w:rsidRPr="00B03494">
        <w:rPr>
          <w:noProof/>
          <w:sz w:val="16"/>
          <w:szCs w:val="16"/>
        </w:rPr>
        <w:t>, 2013)</w:t>
      </w:r>
      <w:r w:rsidR="00B03494">
        <w:rPr>
          <w:sz w:val="16"/>
          <w:szCs w:val="16"/>
        </w:rPr>
        <w:fldChar w:fldCharType="end"/>
      </w:r>
      <w:r w:rsidR="00B03494">
        <w:rPr>
          <w:sz w:val="16"/>
          <w:szCs w:val="16"/>
        </w:rPr>
        <w:t xml:space="preserve">. We select 3 major assembly quality parameters to report from the various metrics that are reported by </w:t>
      </w:r>
      <w:proofErr w:type="spellStart"/>
      <w:r w:rsidR="00B03494">
        <w:rPr>
          <w:sz w:val="16"/>
          <w:szCs w:val="16"/>
        </w:rPr>
        <w:t>MetaQUAST</w:t>
      </w:r>
      <w:proofErr w:type="spellEnd"/>
      <w:r w:rsidR="00B03494">
        <w:rPr>
          <w:sz w:val="16"/>
          <w:szCs w:val="16"/>
        </w:rPr>
        <w:t>. The quality parameters are:</w:t>
      </w:r>
    </w:p>
    <w:p w14:paraId="0F9D1AE3" w14:textId="58CC5929" w:rsidR="00B03494" w:rsidRDefault="00B03494" w:rsidP="00B03494">
      <w:pPr>
        <w:pStyle w:val="NumberedListlast"/>
        <w:numPr>
          <w:ilvl w:val="0"/>
          <w:numId w:val="16"/>
        </w:numPr>
        <w:spacing w:after="240"/>
        <w:rPr>
          <w:sz w:val="16"/>
          <w:szCs w:val="16"/>
        </w:rPr>
      </w:pPr>
      <w:r>
        <w:rPr>
          <w:sz w:val="16"/>
          <w:szCs w:val="16"/>
        </w:rPr>
        <w:t xml:space="preserve"># </w:t>
      </w:r>
      <w:proofErr w:type="spellStart"/>
      <w:r>
        <w:rPr>
          <w:sz w:val="16"/>
          <w:szCs w:val="16"/>
        </w:rPr>
        <w:t>misassemblies</w:t>
      </w:r>
      <w:proofErr w:type="spellEnd"/>
      <w:r>
        <w:rPr>
          <w:sz w:val="16"/>
          <w:szCs w:val="16"/>
        </w:rPr>
        <w:t>: This is the measure of the the number of contigs that are incorrectly joined. This metric is the sum of all relocations, inversions and translocations</w:t>
      </w:r>
      <w:r w:rsidR="007F7792">
        <w:rPr>
          <w:sz w:val="16"/>
          <w:szCs w:val="16"/>
        </w:rPr>
        <w:t xml:space="preserve"> errors</w:t>
      </w:r>
      <w:r>
        <w:rPr>
          <w:sz w:val="16"/>
          <w:szCs w:val="16"/>
        </w:rPr>
        <w:t>.</w:t>
      </w:r>
      <w:r w:rsidR="007F7792">
        <w:rPr>
          <w:sz w:val="16"/>
          <w:szCs w:val="16"/>
        </w:rPr>
        <w:t xml:space="preserve"> This metric is the best measure of correctness</w:t>
      </w:r>
      <w:r>
        <w:rPr>
          <w:sz w:val="16"/>
          <w:szCs w:val="16"/>
        </w:rPr>
        <w:t xml:space="preserve"> </w:t>
      </w:r>
      <w:r w:rsidR="007F7792">
        <w:rPr>
          <w:sz w:val="16"/>
          <w:szCs w:val="16"/>
        </w:rPr>
        <w:t xml:space="preserve">of an assembly. </w:t>
      </w:r>
      <w:r>
        <w:rPr>
          <w:sz w:val="16"/>
          <w:szCs w:val="16"/>
        </w:rPr>
        <w:t xml:space="preserve">Local base calling errors are not included in this metric. </w:t>
      </w:r>
    </w:p>
    <w:p w14:paraId="37A8A7D0" w14:textId="160751D6" w:rsidR="00B03494" w:rsidRDefault="00B03494" w:rsidP="00B03494">
      <w:pPr>
        <w:pStyle w:val="NumberedListlast"/>
        <w:numPr>
          <w:ilvl w:val="0"/>
          <w:numId w:val="16"/>
        </w:numPr>
        <w:spacing w:after="240"/>
        <w:rPr>
          <w:sz w:val="16"/>
          <w:szCs w:val="16"/>
        </w:rPr>
      </w:pPr>
      <w:r>
        <w:rPr>
          <w:sz w:val="16"/>
          <w:szCs w:val="16"/>
        </w:rPr>
        <w:t>Median NGA50: NGA50 is calculated after splitting incorrect contigs and scaffolds</w:t>
      </w:r>
      <w:r w:rsidR="00700413">
        <w:rPr>
          <w:sz w:val="16"/>
          <w:szCs w:val="16"/>
        </w:rPr>
        <w:t xml:space="preserve"> to align then</w:t>
      </w:r>
      <w:r>
        <w:rPr>
          <w:sz w:val="16"/>
          <w:szCs w:val="16"/>
        </w:rPr>
        <w:t xml:space="preserve"> all </w:t>
      </w:r>
      <w:r w:rsidR="00700413">
        <w:rPr>
          <w:sz w:val="16"/>
          <w:szCs w:val="16"/>
        </w:rPr>
        <w:t>to the reference genomes. The N50 score of these split contigs and scaffolds is NGA50. Since, the NGA50 is reported for each reference in the metagenome individually</w:t>
      </w:r>
      <w:r w:rsidR="007F7792">
        <w:rPr>
          <w:sz w:val="16"/>
          <w:szCs w:val="16"/>
        </w:rPr>
        <w:t>.  W</w:t>
      </w:r>
      <w:r w:rsidR="00700413">
        <w:rPr>
          <w:sz w:val="16"/>
          <w:szCs w:val="16"/>
        </w:rPr>
        <w:t>e pick the median NGA50</w:t>
      </w:r>
      <w:r w:rsidR="007F7792">
        <w:rPr>
          <w:sz w:val="16"/>
          <w:szCs w:val="16"/>
        </w:rPr>
        <w:t xml:space="preserve"> of all the reference organisms that are at least covered 10 times by the read library</w:t>
      </w:r>
      <w:r w:rsidR="00700413">
        <w:rPr>
          <w:sz w:val="16"/>
          <w:szCs w:val="16"/>
        </w:rPr>
        <w:t>.</w:t>
      </w:r>
      <w:r w:rsidR="007F7792">
        <w:rPr>
          <w:sz w:val="16"/>
          <w:szCs w:val="16"/>
        </w:rPr>
        <w:t xml:space="preserve"> This metric is a good metric to measure contiguity of the assembly</w:t>
      </w:r>
      <w:r w:rsidR="00E976E6">
        <w:rPr>
          <w:sz w:val="16"/>
          <w:szCs w:val="16"/>
        </w:rPr>
        <w:t>. Due to the fact that incorrect contigs and scaffolds are broken to align correctly with the reference this metric cannot influenced by incorrect long contigs.</w:t>
      </w:r>
      <w:r w:rsidR="007F7792">
        <w:rPr>
          <w:sz w:val="16"/>
          <w:szCs w:val="16"/>
        </w:rPr>
        <w:t xml:space="preserve"> </w:t>
      </w:r>
    </w:p>
    <w:p w14:paraId="39A18227" w14:textId="3F73BCD2" w:rsidR="00416E1E" w:rsidRDefault="007F7792" w:rsidP="00416E1E">
      <w:pPr>
        <w:pStyle w:val="NumberedListlast"/>
        <w:numPr>
          <w:ilvl w:val="0"/>
          <w:numId w:val="16"/>
        </w:numPr>
        <w:spacing w:after="240"/>
        <w:rPr>
          <w:sz w:val="16"/>
          <w:szCs w:val="16"/>
        </w:rPr>
      </w:pPr>
      <w:r>
        <w:rPr>
          <w:sz w:val="16"/>
          <w:szCs w:val="16"/>
        </w:rPr>
        <w:t xml:space="preserve">Genome Fraction (%): </w:t>
      </w:r>
      <w:r w:rsidR="00AD2FB9">
        <w:rPr>
          <w:sz w:val="16"/>
          <w:szCs w:val="16"/>
        </w:rPr>
        <w:t xml:space="preserve">Genome fraction is the </w:t>
      </w:r>
      <w:r w:rsidR="00C9407F">
        <w:rPr>
          <w:sz w:val="16"/>
          <w:szCs w:val="16"/>
        </w:rPr>
        <w:t>ratio of bases in</w:t>
      </w:r>
      <w:r w:rsidR="00AD2FB9">
        <w:rPr>
          <w:sz w:val="16"/>
          <w:szCs w:val="16"/>
        </w:rPr>
        <w:t xml:space="preserve"> the reference that appear </w:t>
      </w:r>
      <w:r w:rsidR="00832157">
        <w:rPr>
          <w:sz w:val="16"/>
          <w:szCs w:val="16"/>
        </w:rPr>
        <w:t xml:space="preserve">at least once in the assembled contigs. </w:t>
      </w:r>
      <w:r w:rsidR="00C9407F">
        <w:rPr>
          <w:sz w:val="16"/>
          <w:szCs w:val="16"/>
        </w:rPr>
        <w:t>This metric is a good measure of completeness of the assembly. In cases of complex metagenome communities with large number of low coverage organisms this value is very useful to determine the capability of an assembler to assemble low coverage organisms.</w:t>
      </w:r>
    </w:p>
    <w:p w14:paraId="561F96C9" w14:textId="53435BF6" w:rsidR="00416E1E" w:rsidRPr="00416E1E" w:rsidRDefault="00416E1E" w:rsidP="00416E1E">
      <w:pPr>
        <w:pStyle w:val="NumberedListlast"/>
        <w:numPr>
          <w:ilvl w:val="0"/>
          <w:numId w:val="0"/>
        </w:numPr>
        <w:spacing w:after="240"/>
        <w:rPr>
          <w:sz w:val="16"/>
          <w:szCs w:val="16"/>
        </w:rPr>
      </w:pPr>
      <w:r>
        <w:rPr>
          <w:sz w:val="16"/>
          <w:szCs w:val="16"/>
        </w:rPr>
        <w:t xml:space="preserve">Further details on QUAST assembly metric can be found in </w:t>
      </w:r>
      <w:r>
        <w:rPr>
          <w:sz w:val="16"/>
          <w:szCs w:val="16"/>
        </w:rPr>
        <w:fldChar w:fldCharType="begin" w:fldLock="1"/>
      </w:r>
      <w:r>
        <w:rPr>
          <w:sz w:val="16"/>
          <w:szCs w:val="16"/>
        </w:rPr>
        <w:instrText>ADDIN CSL_CITATION { "citationItems" : [ { "id" : "ITEM-1", "itemData" : { "DOI" : "10.1093/bioinformatics/btt086 ", "abstract" : "Summary: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QUAST\u2014a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website.Availability: http://bioinf.spbau.ru/quastContact: gurevich@bioinf.spbau.ruSupplementary information: Supplementary data are available at Bioinformatics online. ", "author" : [ { "dropping-particle" : "", "family" : "Gurevich", "given" : "Alexey", "non-dropping-particle" : "", "parse-names" : false, "suffix" : "" }, { "dropping-particle" : "", "family" : "Saveliev", "given" : "Vladislav", "non-dropping-particle" : "", "parse-names" : false, "suffix" : "" }, { "dropping-particle" : "", "family" : "Vyahhi", "given" : "Nikolay", "non-dropping-particle" : "", "parse-names" : false, "suffix" : "" }, { "dropping-particle" : "", "family" : "Tesler", "given" : "Glenn", "non-dropping-particle" : "", "parse-names" : false, "suffix" : "" } ], "container-title" : "Bioinformatics ", "genre" : "JOUR", "id" : "ITEM-1", "issue" : "8 ", "issued" : { "date-parts" : [ [ "2013", "4", "15" ] ] }, "note" : "10.1093/bioinformatics/btt086", "page" : "1072-1075", "title" : "QUAST: quality assessment tool for genome assemblies", "type" : "article-journal", "volume" : "29 " }, "uris" : [ "http://www.mendeley.com/documents/?uuid=c6ff05dc-e987-4f2d-917b-09b38cbb0e51" ] } ], "mendeley" : { "formattedCitation" : "(Gurevich &lt;i&gt;et al.&lt;/i&gt;, 2013)", "plainTextFormattedCitation" : "(Gurevich et al., 2013)" }, "properties" : { "noteIndex" : 0 }, "schema" : "https://github.com/citation-style-language/schema/raw/master/csl-citation.json" }</w:instrText>
      </w:r>
      <w:r>
        <w:rPr>
          <w:sz w:val="16"/>
          <w:szCs w:val="16"/>
        </w:rPr>
        <w:fldChar w:fldCharType="separate"/>
      </w:r>
      <w:r w:rsidRPr="00416E1E">
        <w:rPr>
          <w:noProof/>
          <w:sz w:val="16"/>
          <w:szCs w:val="16"/>
        </w:rPr>
        <w:t xml:space="preserve">(Gurevich </w:t>
      </w:r>
      <w:r w:rsidRPr="00416E1E">
        <w:rPr>
          <w:i/>
          <w:noProof/>
          <w:sz w:val="16"/>
          <w:szCs w:val="16"/>
        </w:rPr>
        <w:t>et al.</w:t>
      </w:r>
      <w:r w:rsidRPr="00416E1E">
        <w:rPr>
          <w:noProof/>
          <w:sz w:val="16"/>
          <w:szCs w:val="16"/>
        </w:rPr>
        <w:t>, 2013)</w:t>
      </w:r>
      <w:r>
        <w:rPr>
          <w:sz w:val="16"/>
          <w:szCs w:val="16"/>
        </w:rPr>
        <w:fldChar w:fldCharType="end"/>
      </w:r>
      <w:r>
        <w:rPr>
          <w:sz w:val="16"/>
          <w:szCs w:val="16"/>
        </w:rPr>
        <w:t>.</w:t>
      </w:r>
    </w:p>
    <w:p w14:paraId="54865A0D" w14:textId="5887CD7D" w:rsidR="00643144" w:rsidRPr="00643144" w:rsidRDefault="00643144" w:rsidP="00643144">
      <w:pPr>
        <w:pStyle w:val="Heading3"/>
      </w:pPr>
      <w:r w:rsidRPr="009D0B6E">
        <w:t>3.</w:t>
      </w:r>
      <w:r>
        <w:t>4</w:t>
      </w:r>
      <w:r w:rsidRPr="009D0B6E">
        <w:t>.</w:t>
      </w:r>
      <w:r>
        <w:t>2</w:t>
      </w:r>
      <w:r w:rsidRPr="009D0B6E">
        <w:t> </w:t>
      </w:r>
      <w:r>
        <w:t>Test Datasets &amp; Experiment Setting</w:t>
      </w:r>
    </w:p>
    <w:p w14:paraId="30D67488" w14:textId="2D052B63" w:rsidR="00E94E22" w:rsidRDefault="00C16594">
      <w:pPr>
        <w:pStyle w:val="ParaNoInd"/>
        <w:rPr>
          <w:sz w:val="16"/>
          <w:szCs w:val="16"/>
        </w:rPr>
      </w:pPr>
      <w:r>
        <w:rPr>
          <w:sz w:val="16"/>
          <w:szCs w:val="16"/>
        </w:rPr>
        <w:t xml:space="preserve">The comparison is conducted on 5 datasets of various sizes and community complexities. </w:t>
      </w:r>
      <w:r w:rsidR="00416E1E">
        <w:rPr>
          <w:sz w:val="16"/>
          <w:szCs w:val="16"/>
        </w:rPr>
        <w:t xml:space="preserve">Table 1 shows the input parameters </w:t>
      </w:r>
      <w:r w:rsidR="002A0C48">
        <w:rPr>
          <w:sz w:val="16"/>
          <w:szCs w:val="16"/>
        </w:rPr>
        <w:t xml:space="preserve">of the test datasets. The 64 genome dataset is a small low complexity dataset with 64 genomes covered almost uniformly. The MC04 and MC06 </w:t>
      </w:r>
      <w:r w:rsidR="001867E6">
        <w:rPr>
          <w:sz w:val="16"/>
          <w:szCs w:val="16"/>
        </w:rPr>
        <w:t xml:space="preserve">are mock </w:t>
      </w:r>
      <w:r w:rsidR="002A0C48">
        <w:rPr>
          <w:sz w:val="16"/>
          <w:szCs w:val="16"/>
        </w:rPr>
        <w:t xml:space="preserve">datasets are simulated high complexity datasets with 868 </w:t>
      </w:r>
      <w:r w:rsidR="001867E6">
        <w:rPr>
          <w:sz w:val="16"/>
          <w:szCs w:val="16"/>
        </w:rPr>
        <w:t xml:space="preserve">microbes in the community. These two mock datasets are drawn from the same set of reference organisms however the abundance of the organisms are different. The mock 250 medium volume dataset is a real Illumina sequenced library from a low complexity mock community of only 26 reference organisms. The CAMI dataset is a medium complexity mock dataset with large sequence volume. </w:t>
      </w:r>
      <w:r w:rsidR="001867E6">
        <w:rPr>
          <w:sz w:val="16"/>
          <w:szCs w:val="16"/>
        </w:rPr>
        <w:lastRenderedPageBreak/>
        <w:t xml:space="preserve">These 4 datasets were trimmed and filtered using </w:t>
      </w:r>
      <w:proofErr w:type="spellStart"/>
      <w:r w:rsidR="001867E6">
        <w:rPr>
          <w:sz w:val="16"/>
          <w:szCs w:val="16"/>
        </w:rPr>
        <w:t>BBtools</w:t>
      </w:r>
      <w:proofErr w:type="spellEnd"/>
      <w:r w:rsidR="001867E6">
        <w:rPr>
          <w:sz w:val="16"/>
          <w:szCs w:val="16"/>
        </w:rPr>
        <w:t xml:space="preserve">(cite?) and error corrected using the Tadpole(cite?). </w:t>
      </w:r>
    </w:p>
    <w:p w14:paraId="19636E6E" w14:textId="77777777" w:rsidR="00E94E22" w:rsidRDefault="00E94E22">
      <w:pPr>
        <w:pStyle w:val="ParaNoInd"/>
        <w:rPr>
          <w:sz w:val="16"/>
          <w:szCs w:val="16"/>
        </w:rPr>
      </w:pPr>
    </w:p>
    <w:tbl>
      <w:tblPr>
        <w:tblW w:w="0" w:type="auto"/>
        <w:tblCellMar>
          <w:left w:w="0" w:type="dxa"/>
          <w:right w:w="0" w:type="dxa"/>
        </w:tblCellMar>
        <w:tblLook w:val="0000" w:firstRow="0" w:lastRow="0" w:firstColumn="0" w:lastColumn="0" w:noHBand="0" w:noVBand="0"/>
      </w:tblPr>
      <w:tblGrid>
        <w:gridCol w:w="266"/>
        <w:gridCol w:w="1170"/>
        <w:gridCol w:w="900"/>
        <w:gridCol w:w="810"/>
        <w:gridCol w:w="810"/>
        <w:gridCol w:w="746"/>
      </w:tblGrid>
      <w:tr w:rsidR="002A0C48" w14:paraId="43A3023F" w14:textId="77777777" w:rsidTr="002A0C48">
        <w:trPr>
          <w:trHeight w:val="442"/>
        </w:trPr>
        <w:tc>
          <w:tcPr>
            <w:tcW w:w="266" w:type="dxa"/>
            <w:tcBorders>
              <w:top w:val="single" w:sz="4" w:space="0" w:color="auto"/>
              <w:bottom w:val="single" w:sz="4" w:space="0" w:color="auto"/>
            </w:tcBorders>
          </w:tcPr>
          <w:p w14:paraId="743C84AB" w14:textId="26CA551E" w:rsidR="002A0C48" w:rsidRPr="00B1157D" w:rsidRDefault="002A0C48" w:rsidP="00B1157D">
            <w:pPr>
              <w:pStyle w:val="ParaNoInd"/>
              <w:jc w:val="center"/>
              <w:rPr>
                <w:sz w:val="16"/>
                <w:szCs w:val="16"/>
              </w:rPr>
            </w:pPr>
            <w:r w:rsidRPr="00B1157D">
              <w:rPr>
                <w:sz w:val="16"/>
                <w:szCs w:val="16"/>
              </w:rPr>
              <w:t>Sl. No.</w:t>
            </w:r>
          </w:p>
        </w:tc>
        <w:tc>
          <w:tcPr>
            <w:tcW w:w="1170" w:type="dxa"/>
            <w:tcBorders>
              <w:top w:val="single" w:sz="4" w:space="0" w:color="auto"/>
              <w:bottom w:val="single" w:sz="4" w:space="0" w:color="auto"/>
            </w:tcBorders>
          </w:tcPr>
          <w:p w14:paraId="50BA808B" w14:textId="6EB7B91B" w:rsidR="002A0C48" w:rsidRPr="00B1157D" w:rsidRDefault="002A0C48" w:rsidP="00B1157D">
            <w:pPr>
              <w:pStyle w:val="ParaNoInd"/>
              <w:jc w:val="center"/>
              <w:rPr>
                <w:sz w:val="16"/>
                <w:szCs w:val="16"/>
              </w:rPr>
            </w:pPr>
            <w:r w:rsidRPr="00B1157D">
              <w:rPr>
                <w:sz w:val="16"/>
                <w:szCs w:val="16"/>
              </w:rPr>
              <w:t>Name</w:t>
            </w:r>
          </w:p>
        </w:tc>
        <w:tc>
          <w:tcPr>
            <w:tcW w:w="900" w:type="dxa"/>
            <w:tcBorders>
              <w:top w:val="single" w:sz="4" w:space="0" w:color="auto"/>
              <w:bottom w:val="single" w:sz="4" w:space="0" w:color="auto"/>
            </w:tcBorders>
          </w:tcPr>
          <w:p w14:paraId="149CC6C8" w14:textId="0D3DB883" w:rsidR="002A0C48" w:rsidRPr="00B1157D" w:rsidRDefault="002A0C48" w:rsidP="00B1157D">
            <w:pPr>
              <w:pStyle w:val="ParaNoInd"/>
              <w:jc w:val="center"/>
              <w:rPr>
                <w:sz w:val="16"/>
                <w:szCs w:val="16"/>
              </w:rPr>
            </w:pPr>
            <w:r>
              <w:rPr>
                <w:sz w:val="16"/>
                <w:szCs w:val="16"/>
              </w:rPr>
              <w:t>Seq.</w:t>
            </w:r>
          </w:p>
          <w:p w14:paraId="1DE2280B" w14:textId="0012FE5A" w:rsidR="002A0C48" w:rsidRPr="00B1157D" w:rsidRDefault="002A0C48" w:rsidP="00B1157D">
            <w:pPr>
              <w:pStyle w:val="ParaNoInd"/>
              <w:jc w:val="center"/>
              <w:rPr>
                <w:sz w:val="16"/>
                <w:szCs w:val="16"/>
              </w:rPr>
            </w:pPr>
            <w:proofErr w:type="spellStart"/>
            <w:r>
              <w:rPr>
                <w:sz w:val="16"/>
                <w:szCs w:val="16"/>
              </w:rPr>
              <w:t>Param</w:t>
            </w:r>
            <w:proofErr w:type="spellEnd"/>
            <w:r>
              <w:rPr>
                <w:sz w:val="16"/>
                <w:szCs w:val="16"/>
              </w:rPr>
              <w:t>.</w:t>
            </w:r>
            <w:r w:rsidRPr="00B1157D">
              <w:rPr>
                <w:sz w:val="16"/>
                <w:szCs w:val="16"/>
              </w:rPr>
              <w:t>(</w:t>
            </w:r>
            <w:proofErr w:type="spellStart"/>
            <w:r w:rsidRPr="00B1157D">
              <w:rPr>
                <w:sz w:val="16"/>
                <w:szCs w:val="16"/>
              </w:rPr>
              <w:t>bp</w:t>
            </w:r>
            <w:proofErr w:type="spellEnd"/>
            <w:r w:rsidRPr="00B1157D">
              <w:rPr>
                <w:sz w:val="16"/>
                <w:szCs w:val="16"/>
              </w:rPr>
              <w:t>)</w:t>
            </w:r>
          </w:p>
        </w:tc>
        <w:tc>
          <w:tcPr>
            <w:tcW w:w="810" w:type="dxa"/>
            <w:tcBorders>
              <w:top w:val="single" w:sz="4" w:space="0" w:color="auto"/>
              <w:bottom w:val="single" w:sz="4" w:space="0" w:color="auto"/>
            </w:tcBorders>
          </w:tcPr>
          <w:p w14:paraId="75EC174E" w14:textId="77777777" w:rsidR="002A0C48" w:rsidRDefault="002A0C48" w:rsidP="00B1157D">
            <w:pPr>
              <w:pStyle w:val="ParaNoInd"/>
              <w:jc w:val="center"/>
              <w:rPr>
                <w:sz w:val="16"/>
                <w:szCs w:val="16"/>
              </w:rPr>
            </w:pPr>
            <w:r>
              <w:rPr>
                <w:sz w:val="16"/>
                <w:szCs w:val="16"/>
              </w:rPr>
              <w:t># of Reads</w:t>
            </w:r>
          </w:p>
          <w:p w14:paraId="79FB0075" w14:textId="708AD041" w:rsidR="002A0C48" w:rsidRPr="00B1157D" w:rsidRDefault="002A0C48" w:rsidP="00B1157D">
            <w:pPr>
              <w:pStyle w:val="ParaNoInd"/>
              <w:jc w:val="center"/>
              <w:rPr>
                <w:sz w:val="16"/>
                <w:szCs w:val="16"/>
              </w:rPr>
            </w:pPr>
            <w:r>
              <w:rPr>
                <w:sz w:val="16"/>
                <w:szCs w:val="16"/>
              </w:rPr>
              <w:t>(</w:t>
            </w:r>
            <w:proofErr w:type="spellStart"/>
            <w:r>
              <w:rPr>
                <w:sz w:val="16"/>
                <w:szCs w:val="16"/>
              </w:rPr>
              <w:t>Mbp</w:t>
            </w:r>
            <w:proofErr w:type="spellEnd"/>
            <w:r>
              <w:rPr>
                <w:sz w:val="16"/>
                <w:szCs w:val="16"/>
              </w:rPr>
              <w:t>)</w:t>
            </w:r>
          </w:p>
        </w:tc>
        <w:tc>
          <w:tcPr>
            <w:tcW w:w="810" w:type="dxa"/>
            <w:tcBorders>
              <w:top w:val="single" w:sz="4" w:space="0" w:color="auto"/>
              <w:bottom w:val="single" w:sz="4" w:space="0" w:color="auto"/>
            </w:tcBorders>
          </w:tcPr>
          <w:p w14:paraId="780C28C0" w14:textId="56B1B1B3" w:rsidR="002A0C48" w:rsidRPr="00B1157D" w:rsidRDefault="002A0C48" w:rsidP="00B1157D">
            <w:pPr>
              <w:pStyle w:val="ParaNoInd"/>
              <w:jc w:val="center"/>
              <w:rPr>
                <w:sz w:val="16"/>
                <w:szCs w:val="16"/>
              </w:rPr>
            </w:pPr>
            <w:r w:rsidRPr="00B1157D">
              <w:rPr>
                <w:sz w:val="16"/>
                <w:szCs w:val="16"/>
              </w:rPr>
              <w:t># of</w:t>
            </w:r>
          </w:p>
          <w:p w14:paraId="0826F5C8" w14:textId="13CFA2C9" w:rsidR="002A0C48" w:rsidRPr="00B1157D" w:rsidRDefault="002A0C48" w:rsidP="00B1157D">
            <w:pPr>
              <w:pStyle w:val="ParaNoInd"/>
              <w:jc w:val="center"/>
              <w:rPr>
                <w:sz w:val="16"/>
                <w:szCs w:val="16"/>
              </w:rPr>
            </w:pPr>
            <w:r w:rsidRPr="00B1157D">
              <w:rPr>
                <w:sz w:val="16"/>
                <w:szCs w:val="16"/>
              </w:rPr>
              <w:t>References</w:t>
            </w:r>
          </w:p>
        </w:tc>
        <w:tc>
          <w:tcPr>
            <w:tcW w:w="746" w:type="dxa"/>
            <w:tcBorders>
              <w:top w:val="single" w:sz="4" w:space="0" w:color="auto"/>
              <w:bottom w:val="single" w:sz="4" w:space="0" w:color="auto"/>
            </w:tcBorders>
          </w:tcPr>
          <w:p w14:paraId="59AFAD95" w14:textId="61EAA97F" w:rsidR="002A0C48" w:rsidRPr="00B1157D" w:rsidRDefault="002A0C48" w:rsidP="00B1157D">
            <w:pPr>
              <w:pStyle w:val="ParaNoInd"/>
              <w:jc w:val="center"/>
              <w:rPr>
                <w:sz w:val="16"/>
                <w:szCs w:val="16"/>
              </w:rPr>
            </w:pPr>
            <w:r w:rsidRPr="00B1157D">
              <w:rPr>
                <w:sz w:val="16"/>
                <w:szCs w:val="16"/>
              </w:rPr>
              <w:t>Read Disk Space(GB)</w:t>
            </w:r>
          </w:p>
        </w:tc>
      </w:tr>
      <w:tr w:rsidR="002A0C48" w14:paraId="3124ECBC" w14:textId="77777777" w:rsidTr="002A0C48">
        <w:trPr>
          <w:trHeight w:val="57"/>
        </w:trPr>
        <w:tc>
          <w:tcPr>
            <w:tcW w:w="266" w:type="dxa"/>
            <w:tcBorders>
              <w:top w:val="single" w:sz="4" w:space="0" w:color="auto"/>
            </w:tcBorders>
          </w:tcPr>
          <w:p w14:paraId="5F9A11E9" w14:textId="7D46FC66" w:rsidR="002A0C48" w:rsidRDefault="002A0C48" w:rsidP="00B1157D">
            <w:pPr>
              <w:pStyle w:val="Tablebody"/>
              <w:jc w:val="center"/>
            </w:pPr>
            <w:r>
              <w:t>1</w:t>
            </w:r>
          </w:p>
        </w:tc>
        <w:tc>
          <w:tcPr>
            <w:tcW w:w="1170" w:type="dxa"/>
            <w:tcBorders>
              <w:top w:val="single" w:sz="4" w:space="0" w:color="auto"/>
            </w:tcBorders>
          </w:tcPr>
          <w:p w14:paraId="34AE0E7B" w14:textId="1913153E" w:rsidR="002A0C48" w:rsidRDefault="002A0C48" w:rsidP="00B1157D">
            <w:pPr>
              <w:pStyle w:val="Tablebody"/>
              <w:jc w:val="center"/>
            </w:pPr>
            <w:r>
              <w:t>64 Genome</w:t>
            </w:r>
          </w:p>
        </w:tc>
        <w:tc>
          <w:tcPr>
            <w:tcW w:w="900" w:type="dxa"/>
            <w:tcBorders>
              <w:top w:val="single" w:sz="4" w:space="0" w:color="auto"/>
            </w:tcBorders>
          </w:tcPr>
          <w:p w14:paraId="146E61AC" w14:textId="1D241496" w:rsidR="002A0C48" w:rsidRDefault="002A0C48" w:rsidP="00B1157D">
            <w:pPr>
              <w:pStyle w:val="Tablebody"/>
              <w:jc w:val="center"/>
            </w:pPr>
            <w:r>
              <w:t>2 x 100</w:t>
            </w:r>
          </w:p>
        </w:tc>
        <w:tc>
          <w:tcPr>
            <w:tcW w:w="810" w:type="dxa"/>
            <w:tcBorders>
              <w:top w:val="single" w:sz="4" w:space="0" w:color="auto"/>
            </w:tcBorders>
          </w:tcPr>
          <w:p w14:paraId="113208B6" w14:textId="1864461A" w:rsidR="002A0C48" w:rsidRDefault="002A0C48" w:rsidP="00B1157D">
            <w:pPr>
              <w:pStyle w:val="Tablebody"/>
              <w:jc w:val="center"/>
            </w:pPr>
            <w:r>
              <w:t>214</w:t>
            </w:r>
          </w:p>
        </w:tc>
        <w:tc>
          <w:tcPr>
            <w:tcW w:w="810" w:type="dxa"/>
            <w:tcBorders>
              <w:top w:val="single" w:sz="4" w:space="0" w:color="auto"/>
            </w:tcBorders>
          </w:tcPr>
          <w:p w14:paraId="69A5C6EB" w14:textId="011421D3" w:rsidR="002A0C48" w:rsidRDefault="002A0C48" w:rsidP="002A0C48">
            <w:pPr>
              <w:pStyle w:val="Tablebody"/>
              <w:jc w:val="center"/>
            </w:pPr>
            <w:r>
              <w:t>64</w:t>
            </w:r>
          </w:p>
        </w:tc>
        <w:tc>
          <w:tcPr>
            <w:tcW w:w="746" w:type="dxa"/>
            <w:tcBorders>
              <w:top w:val="single" w:sz="4" w:space="0" w:color="auto"/>
            </w:tcBorders>
          </w:tcPr>
          <w:p w14:paraId="17CD117F" w14:textId="519FC60C" w:rsidR="002A0C48" w:rsidRDefault="002A0C48" w:rsidP="00B1157D">
            <w:pPr>
              <w:pStyle w:val="Tablebody"/>
              <w:jc w:val="center"/>
            </w:pPr>
            <w:r>
              <w:t>24</w:t>
            </w:r>
          </w:p>
        </w:tc>
      </w:tr>
      <w:tr w:rsidR="002A0C48" w14:paraId="4ABCE1D5" w14:textId="77777777" w:rsidTr="002A0C48">
        <w:trPr>
          <w:trHeight w:val="218"/>
        </w:trPr>
        <w:tc>
          <w:tcPr>
            <w:tcW w:w="266" w:type="dxa"/>
          </w:tcPr>
          <w:p w14:paraId="709AB997" w14:textId="51AF6ED0" w:rsidR="002A0C48" w:rsidRDefault="002A0C48" w:rsidP="00B1157D">
            <w:pPr>
              <w:pStyle w:val="Tablebody"/>
              <w:jc w:val="center"/>
            </w:pPr>
            <w:r>
              <w:t>2</w:t>
            </w:r>
          </w:p>
        </w:tc>
        <w:tc>
          <w:tcPr>
            <w:tcW w:w="1170" w:type="dxa"/>
          </w:tcPr>
          <w:p w14:paraId="7ACED920" w14:textId="0C22A393" w:rsidR="002A0C48" w:rsidRDefault="002A0C48" w:rsidP="00B1157D">
            <w:pPr>
              <w:pStyle w:val="Tablebody"/>
              <w:jc w:val="center"/>
            </w:pPr>
            <w:r>
              <w:t>MC04</w:t>
            </w:r>
          </w:p>
        </w:tc>
        <w:tc>
          <w:tcPr>
            <w:tcW w:w="900" w:type="dxa"/>
          </w:tcPr>
          <w:p w14:paraId="6C6CA9D1" w14:textId="4C2C0A01" w:rsidR="002A0C48" w:rsidRDefault="002A0C48" w:rsidP="00B1157D">
            <w:pPr>
              <w:pStyle w:val="Tablebody"/>
              <w:jc w:val="center"/>
            </w:pPr>
            <w:r>
              <w:t>2 x 150</w:t>
            </w:r>
          </w:p>
        </w:tc>
        <w:tc>
          <w:tcPr>
            <w:tcW w:w="810" w:type="dxa"/>
          </w:tcPr>
          <w:p w14:paraId="4F597B31" w14:textId="59E209EB" w:rsidR="002A0C48" w:rsidRDefault="002A0C48" w:rsidP="00B1157D">
            <w:pPr>
              <w:pStyle w:val="Tablebody"/>
              <w:jc w:val="center"/>
            </w:pPr>
            <w:r>
              <w:t>128</w:t>
            </w:r>
          </w:p>
        </w:tc>
        <w:tc>
          <w:tcPr>
            <w:tcW w:w="810" w:type="dxa"/>
          </w:tcPr>
          <w:p w14:paraId="1FBBA73F" w14:textId="4FC14AFC" w:rsidR="002A0C48" w:rsidRDefault="002A0C48" w:rsidP="002A0C48">
            <w:pPr>
              <w:pStyle w:val="Tablebody"/>
              <w:jc w:val="center"/>
            </w:pPr>
            <w:r w:rsidRPr="002A0C48">
              <w:rPr>
                <w:lang w:val="is-IS"/>
              </w:rPr>
              <w:t>144</w:t>
            </w:r>
            <w:r w:rsidRPr="002A0C48">
              <w:rPr>
                <w:vertAlign w:val="superscript"/>
                <w:lang w:val="is-IS"/>
              </w:rPr>
              <w:t>*</w:t>
            </w:r>
            <w:r w:rsidRPr="002A0C48">
              <w:rPr>
                <w:lang w:val="is-IS"/>
              </w:rPr>
              <w:t>(868)</w:t>
            </w:r>
          </w:p>
        </w:tc>
        <w:tc>
          <w:tcPr>
            <w:tcW w:w="746" w:type="dxa"/>
          </w:tcPr>
          <w:p w14:paraId="7D0BDA26" w14:textId="797D8C07" w:rsidR="002A0C48" w:rsidRDefault="002A0C48" w:rsidP="00B1157D">
            <w:pPr>
              <w:pStyle w:val="Tablebody"/>
              <w:jc w:val="center"/>
            </w:pPr>
            <w:r>
              <w:t>42</w:t>
            </w:r>
          </w:p>
        </w:tc>
      </w:tr>
      <w:tr w:rsidR="002A0C48" w14:paraId="1E03ADC7" w14:textId="77777777" w:rsidTr="002A0C48">
        <w:tc>
          <w:tcPr>
            <w:tcW w:w="266" w:type="dxa"/>
          </w:tcPr>
          <w:p w14:paraId="4B30964C" w14:textId="523B0212" w:rsidR="002A0C48" w:rsidRDefault="002A0C48" w:rsidP="00B1157D">
            <w:pPr>
              <w:pStyle w:val="Tablebody"/>
              <w:jc w:val="center"/>
            </w:pPr>
            <w:r>
              <w:t>3</w:t>
            </w:r>
          </w:p>
        </w:tc>
        <w:tc>
          <w:tcPr>
            <w:tcW w:w="1170" w:type="dxa"/>
          </w:tcPr>
          <w:p w14:paraId="2202CD5C" w14:textId="27E9ECC9" w:rsidR="002A0C48" w:rsidRDefault="002A0C48" w:rsidP="00B1157D">
            <w:pPr>
              <w:pStyle w:val="Tablebody"/>
              <w:jc w:val="center"/>
            </w:pPr>
            <w:r>
              <w:t>MC06</w:t>
            </w:r>
          </w:p>
        </w:tc>
        <w:tc>
          <w:tcPr>
            <w:tcW w:w="900" w:type="dxa"/>
          </w:tcPr>
          <w:p w14:paraId="608CFD8A" w14:textId="5088AD37" w:rsidR="002A0C48" w:rsidRDefault="002A0C48" w:rsidP="00B1157D">
            <w:pPr>
              <w:pStyle w:val="Tablebody"/>
              <w:jc w:val="center"/>
            </w:pPr>
            <w:r>
              <w:t>2 x 150</w:t>
            </w:r>
          </w:p>
        </w:tc>
        <w:tc>
          <w:tcPr>
            <w:tcW w:w="810" w:type="dxa"/>
          </w:tcPr>
          <w:p w14:paraId="15138B42" w14:textId="4FA3583C" w:rsidR="002A0C48" w:rsidRDefault="002A0C48" w:rsidP="00B1157D">
            <w:pPr>
              <w:pStyle w:val="Tablebody"/>
              <w:jc w:val="center"/>
            </w:pPr>
            <w:r>
              <w:t>128</w:t>
            </w:r>
          </w:p>
        </w:tc>
        <w:tc>
          <w:tcPr>
            <w:tcW w:w="810" w:type="dxa"/>
          </w:tcPr>
          <w:p w14:paraId="1BE77D0A" w14:textId="08264B28" w:rsidR="002A0C48" w:rsidRDefault="002A0C48" w:rsidP="002A0C48">
            <w:pPr>
              <w:pStyle w:val="Tablebody"/>
              <w:jc w:val="center"/>
            </w:pPr>
            <w:r>
              <w:t>137* (868)</w:t>
            </w:r>
          </w:p>
        </w:tc>
        <w:tc>
          <w:tcPr>
            <w:tcW w:w="746" w:type="dxa"/>
          </w:tcPr>
          <w:p w14:paraId="1AB49D4F" w14:textId="6071E84B" w:rsidR="002A0C48" w:rsidRDefault="002A0C48" w:rsidP="00B1157D">
            <w:pPr>
              <w:pStyle w:val="Tablebody"/>
              <w:jc w:val="center"/>
            </w:pPr>
            <w:r>
              <w:t>42</w:t>
            </w:r>
          </w:p>
        </w:tc>
      </w:tr>
      <w:tr w:rsidR="002A0C48" w14:paraId="01E86E8D" w14:textId="77777777" w:rsidTr="002A0C48">
        <w:tc>
          <w:tcPr>
            <w:tcW w:w="266" w:type="dxa"/>
          </w:tcPr>
          <w:p w14:paraId="0E2E691D" w14:textId="009B9276" w:rsidR="002A0C48" w:rsidRDefault="002A0C48" w:rsidP="00B1157D">
            <w:pPr>
              <w:pStyle w:val="Tablebody"/>
              <w:jc w:val="center"/>
            </w:pPr>
            <w:r>
              <w:t>4</w:t>
            </w:r>
          </w:p>
        </w:tc>
        <w:tc>
          <w:tcPr>
            <w:tcW w:w="1170" w:type="dxa"/>
          </w:tcPr>
          <w:p w14:paraId="25832B65" w14:textId="0035AA6A" w:rsidR="002A0C48" w:rsidRDefault="002A0C48" w:rsidP="00B1157D">
            <w:pPr>
              <w:pStyle w:val="Tablebody"/>
              <w:jc w:val="center"/>
            </w:pPr>
            <w:r>
              <w:t>MOCK 250</w:t>
            </w:r>
          </w:p>
        </w:tc>
        <w:tc>
          <w:tcPr>
            <w:tcW w:w="900" w:type="dxa"/>
          </w:tcPr>
          <w:p w14:paraId="34247B76" w14:textId="25D7422E" w:rsidR="002A0C48" w:rsidRDefault="002A0C48" w:rsidP="00B1157D">
            <w:pPr>
              <w:pStyle w:val="Tablebody"/>
              <w:jc w:val="center"/>
            </w:pPr>
            <w:r>
              <w:t xml:space="preserve">2 x 250 </w:t>
            </w:r>
          </w:p>
        </w:tc>
        <w:tc>
          <w:tcPr>
            <w:tcW w:w="810" w:type="dxa"/>
          </w:tcPr>
          <w:p w14:paraId="7DFBB78E" w14:textId="4E12B5DA" w:rsidR="002A0C48" w:rsidRDefault="002A0C48" w:rsidP="00B1157D">
            <w:pPr>
              <w:pStyle w:val="Tablebody"/>
              <w:jc w:val="center"/>
            </w:pPr>
            <w:r>
              <w:t>210</w:t>
            </w:r>
          </w:p>
        </w:tc>
        <w:tc>
          <w:tcPr>
            <w:tcW w:w="810" w:type="dxa"/>
          </w:tcPr>
          <w:p w14:paraId="76A1396D" w14:textId="3ED75DF0" w:rsidR="002A0C48" w:rsidRDefault="002A0C48" w:rsidP="002A0C48">
            <w:pPr>
              <w:pStyle w:val="Tablebody"/>
              <w:jc w:val="center"/>
            </w:pPr>
            <w:r>
              <w:t>26</w:t>
            </w:r>
          </w:p>
        </w:tc>
        <w:tc>
          <w:tcPr>
            <w:tcW w:w="746" w:type="dxa"/>
          </w:tcPr>
          <w:p w14:paraId="22250974" w14:textId="673B8FAF" w:rsidR="002A0C48" w:rsidRDefault="002A0C48" w:rsidP="00B1157D">
            <w:pPr>
              <w:pStyle w:val="Tablebody"/>
              <w:jc w:val="center"/>
            </w:pPr>
            <w:r>
              <w:t>108</w:t>
            </w:r>
          </w:p>
        </w:tc>
      </w:tr>
      <w:tr w:rsidR="002A0C48" w14:paraId="430697DA" w14:textId="77777777" w:rsidTr="002A0C48">
        <w:tc>
          <w:tcPr>
            <w:tcW w:w="266" w:type="dxa"/>
          </w:tcPr>
          <w:p w14:paraId="223E79BA" w14:textId="3CA4A65D" w:rsidR="002A0C48" w:rsidRDefault="002A0C48" w:rsidP="00B1157D">
            <w:pPr>
              <w:pStyle w:val="Tablebody"/>
              <w:jc w:val="center"/>
            </w:pPr>
            <w:r>
              <w:t>5</w:t>
            </w:r>
          </w:p>
        </w:tc>
        <w:tc>
          <w:tcPr>
            <w:tcW w:w="1170" w:type="dxa"/>
          </w:tcPr>
          <w:p w14:paraId="51D08F77" w14:textId="61CC0EFF" w:rsidR="002A0C48" w:rsidRDefault="002A0C48" w:rsidP="00B1157D">
            <w:pPr>
              <w:pStyle w:val="Tablebody"/>
              <w:jc w:val="center"/>
            </w:pPr>
            <w:r>
              <w:t>CAMI</w:t>
            </w:r>
          </w:p>
        </w:tc>
        <w:tc>
          <w:tcPr>
            <w:tcW w:w="900" w:type="dxa"/>
          </w:tcPr>
          <w:p w14:paraId="491C993A" w14:textId="6C682713" w:rsidR="002A0C48" w:rsidRDefault="002A0C48" w:rsidP="00B1157D">
            <w:pPr>
              <w:pStyle w:val="Tablebody"/>
              <w:jc w:val="center"/>
            </w:pPr>
            <w:r>
              <w:t>2 x 150</w:t>
            </w:r>
          </w:p>
        </w:tc>
        <w:tc>
          <w:tcPr>
            <w:tcW w:w="810" w:type="dxa"/>
          </w:tcPr>
          <w:p w14:paraId="692F2D78" w14:textId="72AFE6F4" w:rsidR="002A0C48" w:rsidRDefault="002A0C48" w:rsidP="00B1157D">
            <w:pPr>
              <w:pStyle w:val="Tablebody"/>
              <w:jc w:val="center"/>
            </w:pPr>
            <w:r>
              <w:t>725</w:t>
            </w:r>
          </w:p>
        </w:tc>
        <w:tc>
          <w:tcPr>
            <w:tcW w:w="810" w:type="dxa"/>
          </w:tcPr>
          <w:p w14:paraId="51F047E8" w14:textId="613C23F0" w:rsidR="002A0C48" w:rsidRDefault="002A0C48" w:rsidP="002A0C48">
            <w:pPr>
              <w:pStyle w:val="Tablebody"/>
              <w:jc w:val="center"/>
            </w:pPr>
            <w:r>
              <w:t>304</w:t>
            </w:r>
          </w:p>
        </w:tc>
        <w:tc>
          <w:tcPr>
            <w:tcW w:w="746" w:type="dxa"/>
          </w:tcPr>
          <w:p w14:paraId="0A037E07" w14:textId="5B3B8D6C" w:rsidR="002A0C48" w:rsidRDefault="002A0C48" w:rsidP="00B1157D">
            <w:pPr>
              <w:pStyle w:val="Tablebody"/>
              <w:jc w:val="center"/>
            </w:pPr>
            <w:r>
              <w:t>241</w:t>
            </w:r>
          </w:p>
        </w:tc>
      </w:tr>
    </w:tbl>
    <w:p w14:paraId="169022E4" w14:textId="77777777" w:rsidR="00E94E22" w:rsidRDefault="00E94E22">
      <w:pPr>
        <w:pStyle w:val="ParaNoInd"/>
        <w:rPr>
          <w:sz w:val="16"/>
          <w:szCs w:val="16"/>
        </w:rPr>
      </w:pPr>
    </w:p>
    <w:p w14:paraId="28CE68DF" w14:textId="63DA18F3" w:rsidR="00D83B8A" w:rsidRDefault="00C16594">
      <w:pPr>
        <w:pStyle w:val="ParaNoInd"/>
        <w:rPr>
          <w:sz w:val="16"/>
          <w:szCs w:val="16"/>
        </w:rPr>
      </w:pPr>
      <w:r>
        <w:rPr>
          <w:sz w:val="16"/>
          <w:szCs w:val="16"/>
        </w:rPr>
        <w:t xml:space="preserve">The datasets were chosen to reflect both the sequencing volume of metagenomics reads and </w:t>
      </w:r>
      <w:r w:rsidR="001867E6">
        <w:rPr>
          <w:sz w:val="16"/>
          <w:szCs w:val="16"/>
        </w:rPr>
        <w:t xml:space="preserve">complexity of metagenomics communities. </w:t>
      </w:r>
    </w:p>
    <w:p w14:paraId="1146CAAD" w14:textId="77777777" w:rsidR="001867E6" w:rsidRDefault="001867E6">
      <w:pPr>
        <w:pStyle w:val="ParaNoInd"/>
        <w:rPr>
          <w:sz w:val="16"/>
          <w:szCs w:val="16"/>
        </w:rPr>
      </w:pPr>
    </w:p>
    <w:p w14:paraId="40FC14C5" w14:textId="77777777" w:rsidR="001867E6" w:rsidRPr="00473EDA" w:rsidRDefault="001867E6">
      <w:pPr>
        <w:pStyle w:val="ParaNoInd"/>
        <w:rPr>
          <w:sz w:val="16"/>
          <w:szCs w:val="16"/>
        </w:rPr>
      </w:pPr>
    </w:p>
    <w:p w14:paraId="1199FE8B" w14:textId="77777777"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14:paraId="5BC6D191"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756294EB"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61F7F521" w14:textId="77777777"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14:paraId="0083D346" w14:textId="77777777"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14:paraId="5C4CE790"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0D5C75EE" w14:textId="63E8A8BD" w:rsidR="00D83B8A" w:rsidRPr="00473EDA" w:rsidRDefault="002F3779" w:rsidP="009E74BF">
      <w:pPr>
        <w:pStyle w:val="Heading2"/>
      </w:pPr>
      <w:r>
        <w:t>Computational Performance</w:t>
      </w:r>
    </w:p>
    <w:p w14:paraId="2F24D8A5" w14:textId="77777777"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14:paraId="3397F9B9" w14:textId="77777777"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14:paraId="6854087E"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7AD6C541"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1C5A35A4" w14:textId="77777777"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14:paraId="4BC8A520" w14:textId="77777777"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14:paraId="6B73A094" w14:textId="77777777" w:rsidR="00D83B8A" w:rsidRDefault="00D83B8A">
      <w:pPr>
        <w:pStyle w:val="EquationDisplay"/>
        <w:spacing w:before="140" w:after="140"/>
      </w:pPr>
      <w:r>
        <w:tab/>
      </w:r>
      <w:r w:rsidRPr="00EC5ED4">
        <w:rPr>
          <w:position w:val="-24"/>
        </w:rPr>
        <w:object w:dxaOrig="1380" w:dyaOrig="560" w14:anchorId="025FC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5pt;height:27.75pt" o:ole="">
            <v:imagedata r:id="rId18" o:title=""/>
          </v:shape>
          <o:OLEObject Type="Embed" ProgID="Equation.DSMT4" ShapeID="_x0000_i1025" DrawAspect="Content" ObjectID="_1534690575" r:id="rId19"/>
        </w:object>
      </w:r>
      <w:r>
        <w:tab/>
        <w:t>(1)</w:t>
      </w:r>
    </w:p>
    <w:p w14:paraId="4DE43371" w14:textId="77777777"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14:paraId="4696629F" w14:textId="702EC067" w:rsidR="00D83B8A" w:rsidRPr="00BE5EE2" w:rsidRDefault="00D83B8A" w:rsidP="00341B9C">
      <w:pPr>
        <w:pStyle w:val="FigureCaption"/>
        <w:spacing w:after="360"/>
        <w:rPr>
          <w:sz w:val="13"/>
          <w:szCs w:val="13"/>
        </w:rPr>
      </w:pPr>
      <w:r w:rsidRPr="00BE5EE2">
        <w:rPr>
          <w:b/>
          <w:bCs/>
          <w:sz w:val="13"/>
          <w:szCs w:val="13"/>
        </w:rPr>
        <w:t>Fig. 1.</w:t>
      </w:r>
      <w:r w:rsidRPr="00BE5EE2">
        <w:rPr>
          <w:b/>
          <w:bCs/>
          <w:sz w:val="13"/>
          <w:szCs w:val="13"/>
        </w:rPr>
        <w:t> </w:t>
      </w:r>
      <w:r w:rsidRPr="005F50A7">
        <w:rPr>
          <w:b/>
          <w:sz w:val="13"/>
          <w:szCs w:val="13"/>
        </w:rPr>
        <w:t xml:space="preserve">Relation between τ and </w:t>
      </w:r>
      <w:r w:rsidRPr="005F50A7">
        <w:rPr>
          <w:b/>
          <w:i/>
          <w:iCs/>
          <w:sz w:val="13"/>
          <w:szCs w:val="13"/>
        </w:rPr>
        <w:t>t</w:t>
      </w:r>
      <w:r w:rsidRPr="005F50A7">
        <w:rPr>
          <w:b/>
          <w:sz w:val="13"/>
          <w:szCs w:val="13"/>
        </w:rPr>
        <w:t>.</w:t>
      </w:r>
      <w:r w:rsidRPr="00BE5EE2">
        <w:rPr>
          <w:sz w:val="13"/>
          <w:szCs w:val="13"/>
        </w:rPr>
        <w:t xml:space="preserve"> This example has only two continuous Steppers, S</w:t>
      </w:r>
      <w:r w:rsidRPr="00BE5EE2">
        <w:rPr>
          <w:sz w:val="13"/>
          <w:szCs w:val="13"/>
          <w:vertAlign w:val="subscript"/>
        </w:rPr>
        <w:t>1</w:t>
      </w:r>
      <w:r w:rsidRPr="00BE5EE2">
        <w:rPr>
          <w:sz w:val="13"/>
          <w:szCs w:val="13"/>
        </w:rPr>
        <w:t xml:space="preserve"> and S</w:t>
      </w:r>
      <w:r w:rsidRPr="00BE5EE2">
        <w:rPr>
          <w:sz w:val="13"/>
          <w:szCs w:val="13"/>
          <w:vertAlign w:val="subscript"/>
        </w:rPr>
        <w:t>2</w:t>
      </w:r>
      <w:r w:rsidRPr="00BE5EE2">
        <w:rPr>
          <w:sz w:val="13"/>
          <w:szCs w:val="13"/>
        </w:rPr>
        <w:t>.</w:t>
      </w:r>
    </w:p>
    <w:tbl>
      <w:tblPr>
        <w:tblpPr w:leftFromText="180" w:rightFromText="180" w:vertAnchor="text" w:horzAnchor="page" w:tblpX="1402" w:tblpY="178"/>
        <w:tblOverlap w:val="never"/>
        <w:tblW w:w="9404" w:type="dxa"/>
        <w:tblCellMar>
          <w:left w:w="0" w:type="dxa"/>
          <w:right w:w="0" w:type="dxa"/>
        </w:tblCellMar>
        <w:tblLook w:val="0000" w:firstRow="0" w:lastRow="0" w:firstColumn="0" w:lastColumn="0" w:noHBand="0" w:noVBand="0"/>
      </w:tblPr>
      <w:tblGrid>
        <w:gridCol w:w="1074"/>
        <w:gridCol w:w="687"/>
        <w:gridCol w:w="557"/>
        <w:gridCol w:w="536"/>
        <w:gridCol w:w="617"/>
        <w:gridCol w:w="573"/>
        <w:gridCol w:w="493"/>
        <w:gridCol w:w="373"/>
        <w:gridCol w:w="535"/>
        <w:gridCol w:w="552"/>
        <w:gridCol w:w="375"/>
        <w:gridCol w:w="573"/>
        <w:gridCol w:w="480"/>
        <w:gridCol w:w="15"/>
        <w:gridCol w:w="598"/>
        <w:gridCol w:w="627"/>
        <w:gridCol w:w="657"/>
        <w:gridCol w:w="82"/>
      </w:tblGrid>
      <w:tr w:rsidR="001867E6" w14:paraId="32974115" w14:textId="77777777" w:rsidTr="001867E6">
        <w:trPr>
          <w:trHeight w:val="395"/>
        </w:trPr>
        <w:tc>
          <w:tcPr>
            <w:tcW w:w="9404" w:type="dxa"/>
            <w:gridSpan w:val="18"/>
            <w:tcBorders>
              <w:top w:val="single" w:sz="4" w:space="0" w:color="auto"/>
              <w:bottom w:val="single" w:sz="4" w:space="0" w:color="auto"/>
            </w:tcBorders>
          </w:tcPr>
          <w:p w14:paraId="358E63CB" w14:textId="77777777" w:rsidR="001867E6" w:rsidRDefault="001867E6" w:rsidP="001867E6">
            <w:pPr>
              <w:pStyle w:val="TableColumnhead"/>
            </w:pPr>
            <w:r w:rsidRPr="00DA5C5A">
              <w:rPr>
                <w:b/>
                <w:bCs/>
              </w:rPr>
              <w:lastRenderedPageBreak/>
              <w:t>Table 1.</w:t>
            </w:r>
            <w:r w:rsidRPr="00DA5C5A">
              <w:rPr>
                <w:b/>
                <w:bCs/>
              </w:rPr>
              <w:t> </w:t>
            </w:r>
            <w:r w:rsidRPr="00DA5C5A">
              <w:t>Benchmark results accuracy test</w:t>
            </w:r>
          </w:p>
        </w:tc>
      </w:tr>
      <w:tr w:rsidR="001867E6" w14:paraId="42A2792B" w14:textId="77777777" w:rsidTr="006A2E48">
        <w:trPr>
          <w:trHeight w:val="138"/>
        </w:trPr>
        <w:tc>
          <w:tcPr>
            <w:tcW w:w="1074" w:type="dxa"/>
            <w:vMerge w:val="restart"/>
            <w:tcBorders>
              <w:top w:val="single" w:sz="4" w:space="0" w:color="auto"/>
            </w:tcBorders>
            <w:vAlign w:val="center"/>
          </w:tcPr>
          <w:p w14:paraId="6FA89067" w14:textId="77777777" w:rsidR="001867E6" w:rsidRDefault="001867E6" w:rsidP="006A2E48">
            <w:pPr>
              <w:pStyle w:val="TableColumnhead"/>
              <w:jc w:val="center"/>
            </w:pPr>
          </w:p>
          <w:p w14:paraId="30B8AE17" w14:textId="77777777" w:rsidR="001867E6" w:rsidRDefault="001867E6" w:rsidP="006A2E48">
            <w:pPr>
              <w:pStyle w:val="TableColumnhead"/>
              <w:jc w:val="center"/>
            </w:pPr>
            <w:r>
              <w:t>Assembler</w:t>
            </w:r>
          </w:p>
        </w:tc>
        <w:tc>
          <w:tcPr>
            <w:tcW w:w="8330" w:type="dxa"/>
            <w:gridSpan w:val="17"/>
            <w:tcBorders>
              <w:top w:val="single" w:sz="4" w:space="0" w:color="auto"/>
              <w:bottom w:val="single" w:sz="4" w:space="0" w:color="auto"/>
            </w:tcBorders>
            <w:vAlign w:val="center"/>
          </w:tcPr>
          <w:p w14:paraId="37FB66C6" w14:textId="77777777" w:rsidR="001867E6" w:rsidRDefault="001867E6" w:rsidP="006A2E48">
            <w:pPr>
              <w:pStyle w:val="TableColumnhead"/>
              <w:jc w:val="center"/>
            </w:pPr>
            <w:r>
              <w:t>Datasets</w:t>
            </w:r>
          </w:p>
        </w:tc>
      </w:tr>
      <w:tr w:rsidR="006A2E48" w14:paraId="62E4FA9A" w14:textId="77777777" w:rsidTr="006A2E48">
        <w:trPr>
          <w:trHeight w:val="219"/>
        </w:trPr>
        <w:tc>
          <w:tcPr>
            <w:tcW w:w="1074" w:type="dxa"/>
            <w:vMerge/>
            <w:vAlign w:val="center"/>
          </w:tcPr>
          <w:p w14:paraId="6E0F4C25" w14:textId="77777777" w:rsidR="001867E6" w:rsidRDefault="001867E6" w:rsidP="006A2E48">
            <w:pPr>
              <w:pStyle w:val="TableColumnhead"/>
              <w:jc w:val="center"/>
            </w:pPr>
          </w:p>
        </w:tc>
        <w:tc>
          <w:tcPr>
            <w:tcW w:w="1780" w:type="dxa"/>
            <w:gridSpan w:val="3"/>
            <w:tcBorders>
              <w:top w:val="single" w:sz="4" w:space="0" w:color="auto"/>
              <w:bottom w:val="single" w:sz="4" w:space="0" w:color="auto"/>
            </w:tcBorders>
            <w:vAlign w:val="center"/>
          </w:tcPr>
          <w:p w14:paraId="5BE92C5D" w14:textId="77777777" w:rsidR="001867E6" w:rsidRDefault="001867E6" w:rsidP="006A2E48">
            <w:pPr>
              <w:pStyle w:val="TableColumnhead"/>
              <w:jc w:val="center"/>
            </w:pPr>
            <w:r>
              <w:t>64 Genome</w:t>
            </w:r>
          </w:p>
        </w:tc>
        <w:tc>
          <w:tcPr>
            <w:tcW w:w="1683" w:type="dxa"/>
            <w:gridSpan w:val="3"/>
            <w:tcBorders>
              <w:top w:val="single" w:sz="4" w:space="0" w:color="auto"/>
              <w:bottom w:val="single" w:sz="4" w:space="0" w:color="auto"/>
            </w:tcBorders>
            <w:vAlign w:val="center"/>
          </w:tcPr>
          <w:p w14:paraId="1B57CE9E" w14:textId="77777777" w:rsidR="001867E6" w:rsidRDefault="001867E6" w:rsidP="006A2E48">
            <w:pPr>
              <w:pStyle w:val="TableColumnhead"/>
              <w:jc w:val="center"/>
            </w:pPr>
            <w:r>
              <w:t>MC06</w:t>
            </w:r>
          </w:p>
        </w:tc>
        <w:tc>
          <w:tcPr>
            <w:tcW w:w="1460" w:type="dxa"/>
            <w:gridSpan w:val="3"/>
            <w:tcBorders>
              <w:top w:val="single" w:sz="4" w:space="0" w:color="auto"/>
              <w:bottom w:val="single" w:sz="4" w:space="0" w:color="auto"/>
            </w:tcBorders>
            <w:vAlign w:val="center"/>
          </w:tcPr>
          <w:p w14:paraId="129E4D48" w14:textId="77777777" w:rsidR="001867E6" w:rsidRDefault="001867E6" w:rsidP="006A2E48">
            <w:pPr>
              <w:pStyle w:val="TableColumnhead"/>
              <w:jc w:val="center"/>
            </w:pPr>
            <w:r>
              <w:t>MC04</w:t>
            </w:r>
          </w:p>
        </w:tc>
        <w:tc>
          <w:tcPr>
            <w:tcW w:w="1443" w:type="dxa"/>
            <w:gridSpan w:val="4"/>
            <w:tcBorders>
              <w:top w:val="single" w:sz="4" w:space="0" w:color="auto"/>
              <w:bottom w:val="single" w:sz="4" w:space="0" w:color="auto"/>
            </w:tcBorders>
            <w:vAlign w:val="center"/>
          </w:tcPr>
          <w:p w14:paraId="5E077A60" w14:textId="77777777" w:rsidR="001867E6" w:rsidRDefault="001867E6" w:rsidP="006A2E48">
            <w:pPr>
              <w:pStyle w:val="TableColumnhead"/>
              <w:jc w:val="center"/>
            </w:pPr>
            <w:proofErr w:type="spellStart"/>
            <w:r>
              <w:t>cami</w:t>
            </w:r>
            <w:proofErr w:type="spellEnd"/>
          </w:p>
        </w:tc>
        <w:tc>
          <w:tcPr>
            <w:tcW w:w="1964" w:type="dxa"/>
            <w:gridSpan w:val="4"/>
            <w:tcBorders>
              <w:top w:val="single" w:sz="4" w:space="0" w:color="auto"/>
              <w:bottom w:val="single" w:sz="4" w:space="0" w:color="auto"/>
            </w:tcBorders>
            <w:vAlign w:val="center"/>
          </w:tcPr>
          <w:p w14:paraId="5FEEB00E" w14:textId="77777777" w:rsidR="001867E6" w:rsidRDefault="001867E6" w:rsidP="006A2E48">
            <w:pPr>
              <w:pStyle w:val="TableColumnhead"/>
              <w:jc w:val="center"/>
            </w:pPr>
            <w:r>
              <w:t>Mock250</w:t>
            </w:r>
          </w:p>
        </w:tc>
      </w:tr>
      <w:tr w:rsidR="006A2E48" w14:paraId="36F6503D" w14:textId="77777777" w:rsidTr="006A2E48">
        <w:trPr>
          <w:gridAfter w:val="1"/>
          <w:wAfter w:w="82" w:type="dxa"/>
          <w:trHeight w:val="281"/>
        </w:trPr>
        <w:tc>
          <w:tcPr>
            <w:tcW w:w="1074" w:type="dxa"/>
            <w:vMerge/>
            <w:vAlign w:val="center"/>
          </w:tcPr>
          <w:p w14:paraId="056EC6E8" w14:textId="77777777" w:rsidR="001867E6" w:rsidRDefault="001867E6" w:rsidP="006A2E48">
            <w:pPr>
              <w:pStyle w:val="Tablebodyfirst"/>
              <w:jc w:val="center"/>
            </w:pPr>
          </w:p>
        </w:tc>
        <w:tc>
          <w:tcPr>
            <w:tcW w:w="687" w:type="dxa"/>
            <w:tcBorders>
              <w:top w:val="single" w:sz="4" w:space="0" w:color="auto"/>
            </w:tcBorders>
            <w:vAlign w:val="center"/>
          </w:tcPr>
          <w:p w14:paraId="05D16769" w14:textId="3E989FD6" w:rsidR="001867E6" w:rsidRDefault="001867E6" w:rsidP="006A2E48">
            <w:pPr>
              <w:pStyle w:val="Tablebody"/>
              <w:jc w:val="center"/>
            </w:pPr>
            <w:proofErr w:type="spellStart"/>
            <w:r>
              <w:t>Mis</w:t>
            </w:r>
            <w:r w:rsidR="006A2E48">
              <w:t>.</w:t>
            </w:r>
            <w:r w:rsidR="006A2E48" w:rsidRPr="006A2E48">
              <w:rPr>
                <w:vertAlign w:val="superscript"/>
              </w:rPr>
              <w:t>a</w:t>
            </w:r>
            <w:proofErr w:type="spellEnd"/>
          </w:p>
        </w:tc>
        <w:tc>
          <w:tcPr>
            <w:tcW w:w="557" w:type="dxa"/>
            <w:tcBorders>
              <w:top w:val="single" w:sz="4" w:space="0" w:color="auto"/>
            </w:tcBorders>
            <w:vAlign w:val="center"/>
          </w:tcPr>
          <w:p w14:paraId="4D78D24E" w14:textId="00389E67" w:rsidR="001867E6" w:rsidRDefault="001867E6" w:rsidP="006A2E48">
            <w:pPr>
              <w:pStyle w:val="Tablebody"/>
              <w:jc w:val="center"/>
            </w:pPr>
            <w:r>
              <w:t>NGA50</w:t>
            </w:r>
            <w:r w:rsidR="006A2E48" w:rsidRPr="006A2E48">
              <w:rPr>
                <w:vertAlign w:val="superscript"/>
              </w:rPr>
              <w:t>b</w:t>
            </w:r>
          </w:p>
        </w:tc>
        <w:tc>
          <w:tcPr>
            <w:tcW w:w="536" w:type="dxa"/>
            <w:tcBorders>
              <w:top w:val="single" w:sz="4" w:space="0" w:color="auto"/>
            </w:tcBorders>
            <w:vAlign w:val="center"/>
          </w:tcPr>
          <w:p w14:paraId="2F28C5CA" w14:textId="77777777" w:rsidR="001867E6" w:rsidRDefault="001867E6" w:rsidP="006A2E48">
            <w:pPr>
              <w:pStyle w:val="Tablebodylast"/>
              <w:ind w:left="0" w:firstLine="0"/>
              <w:jc w:val="center"/>
            </w:pPr>
            <w:r>
              <w:t>GF(%)</w:t>
            </w:r>
          </w:p>
        </w:tc>
        <w:tc>
          <w:tcPr>
            <w:tcW w:w="617" w:type="dxa"/>
            <w:tcBorders>
              <w:top w:val="single" w:sz="4" w:space="0" w:color="auto"/>
            </w:tcBorders>
            <w:vAlign w:val="center"/>
          </w:tcPr>
          <w:p w14:paraId="4A38ACDA" w14:textId="77777777" w:rsidR="001867E6" w:rsidRDefault="001867E6" w:rsidP="006A2E48">
            <w:pPr>
              <w:pStyle w:val="Tablebodyfirst"/>
              <w:jc w:val="center"/>
            </w:pPr>
            <w:proofErr w:type="spellStart"/>
            <w:r>
              <w:t>Mis</w:t>
            </w:r>
            <w:proofErr w:type="spellEnd"/>
          </w:p>
        </w:tc>
        <w:tc>
          <w:tcPr>
            <w:tcW w:w="573" w:type="dxa"/>
            <w:tcBorders>
              <w:top w:val="single" w:sz="4" w:space="0" w:color="auto"/>
            </w:tcBorders>
            <w:vAlign w:val="center"/>
          </w:tcPr>
          <w:p w14:paraId="7B4BF232" w14:textId="77777777" w:rsidR="001867E6" w:rsidRDefault="001867E6" w:rsidP="006A2E48">
            <w:pPr>
              <w:pStyle w:val="Tablebodyfirst"/>
              <w:jc w:val="center"/>
            </w:pPr>
            <w:r>
              <w:t>NGA50</w:t>
            </w:r>
          </w:p>
        </w:tc>
        <w:tc>
          <w:tcPr>
            <w:tcW w:w="493" w:type="dxa"/>
            <w:tcBorders>
              <w:top w:val="single" w:sz="4" w:space="0" w:color="auto"/>
            </w:tcBorders>
            <w:vAlign w:val="center"/>
          </w:tcPr>
          <w:p w14:paraId="2B97618D" w14:textId="77777777" w:rsidR="001867E6" w:rsidRDefault="001867E6" w:rsidP="006A2E48">
            <w:pPr>
              <w:pStyle w:val="Tablebodyfirst"/>
              <w:jc w:val="center"/>
            </w:pPr>
            <w:r>
              <w:t>GF(%)</w:t>
            </w:r>
          </w:p>
        </w:tc>
        <w:tc>
          <w:tcPr>
            <w:tcW w:w="373" w:type="dxa"/>
            <w:tcBorders>
              <w:top w:val="single" w:sz="4" w:space="0" w:color="auto"/>
            </w:tcBorders>
            <w:vAlign w:val="center"/>
          </w:tcPr>
          <w:p w14:paraId="69861B96" w14:textId="77777777" w:rsidR="001867E6" w:rsidRDefault="001867E6" w:rsidP="006A2E48">
            <w:pPr>
              <w:pStyle w:val="Tablebodyfirst"/>
              <w:jc w:val="center"/>
            </w:pPr>
            <w:proofErr w:type="spellStart"/>
            <w:r>
              <w:t>Mis</w:t>
            </w:r>
            <w:proofErr w:type="spellEnd"/>
          </w:p>
        </w:tc>
        <w:tc>
          <w:tcPr>
            <w:tcW w:w="535" w:type="dxa"/>
            <w:tcBorders>
              <w:top w:val="single" w:sz="4" w:space="0" w:color="auto"/>
            </w:tcBorders>
            <w:vAlign w:val="center"/>
          </w:tcPr>
          <w:p w14:paraId="58DD40A1" w14:textId="77777777" w:rsidR="001867E6" w:rsidRDefault="001867E6" w:rsidP="006A2E48">
            <w:pPr>
              <w:pStyle w:val="Tablebodyfirst"/>
              <w:jc w:val="center"/>
            </w:pPr>
            <w:r>
              <w:t>NGA50</w:t>
            </w:r>
          </w:p>
        </w:tc>
        <w:tc>
          <w:tcPr>
            <w:tcW w:w="552" w:type="dxa"/>
            <w:tcBorders>
              <w:top w:val="single" w:sz="4" w:space="0" w:color="auto"/>
            </w:tcBorders>
            <w:vAlign w:val="center"/>
          </w:tcPr>
          <w:p w14:paraId="3B0532FC" w14:textId="77777777" w:rsidR="001867E6" w:rsidRDefault="001867E6" w:rsidP="006A2E48">
            <w:pPr>
              <w:pStyle w:val="Tablebodyfirst"/>
              <w:jc w:val="center"/>
            </w:pPr>
            <w:r>
              <w:t>GF(%)</w:t>
            </w:r>
          </w:p>
        </w:tc>
        <w:tc>
          <w:tcPr>
            <w:tcW w:w="375" w:type="dxa"/>
            <w:tcBorders>
              <w:top w:val="single" w:sz="4" w:space="0" w:color="auto"/>
            </w:tcBorders>
            <w:vAlign w:val="center"/>
          </w:tcPr>
          <w:p w14:paraId="5181C6DC" w14:textId="77777777" w:rsidR="001867E6" w:rsidRDefault="001867E6" w:rsidP="006A2E48">
            <w:pPr>
              <w:pStyle w:val="Tablebodyfirst"/>
              <w:jc w:val="center"/>
            </w:pPr>
            <w:proofErr w:type="spellStart"/>
            <w:r>
              <w:t>Mis</w:t>
            </w:r>
            <w:proofErr w:type="spellEnd"/>
          </w:p>
        </w:tc>
        <w:tc>
          <w:tcPr>
            <w:tcW w:w="573" w:type="dxa"/>
            <w:tcBorders>
              <w:top w:val="single" w:sz="4" w:space="0" w:color="auto"/>
            </w:tcBorders>
            <w:vAlign w:val="center"/>
          </w:tcPr>
          <w:p w14:paraId="7AB6D38A" w14:textId="77777777" w:rsidR="001867E6" w:rsidRDefault="001867E6" w:rsidP="006A2E48">
            <w:pPr>
              <w:pStyle w:val="Tablebodyfirst"/>
              <w:jc w:val="center"/>
            </w:pPr>
            <w:r>
              <w:t>NGA50</w:t>
            </w:r>
          </w:p>
        </w:tc>
        <w:tc>
          <w:tcPr>
            <w:tcW w:w="480" w:type="dxa"/>
            <w:tcBorders>
              <w:top w:val="single" w:sz="4" w:space="0" w:color="auto"/>
            </w:tcBorders>
            <w:vAlign w:val="center"/>
          </w:tcPr>
          <w:p w14:paraId="52DE4B5E" w14:textId="77777777" w:rsidR="001867E6" w:rsidRDefault="001867E6" w:rsidP="006A2E48">
            <w:pPr>
              <w:pStyle w:val="Tablebodyfirst"/>
              <w:jc w:val="center"/>
            </w:pPr>
            <w:r>
              <w:t>GF(%)</w:t>
            </w:r>
          </w:p>
        </w:tc>
        <w:tc>
          <w:tcPr>
            <w:tcW w:w="613" w:type="dxa"/>
            <w:gridSpan w:val="2"/>
            <w:tcBorders>
              <w:top w:val="single" w:sz="4" w:space="0" w:color="auto"/>
            </w:tcBorders>
            <w:vAlign w:val="center"/>
          </w:tcPr>
          <w:p w14:paraId="34FE4744" w14:textId="77777777" w:rsidR="001867E6" w:rsidRDefault="001867E6" w:rsidP="006A2E48">
            <w:pPr>
              <w:pStyle w:val="Tablebodyfirst"/>
              <w:jc w:val="center"/>
            </w:pPr>
            <w:proofErr w:type="spellStart"/>
            <w:r>
              <w:t>Mis</w:t>
            </w:r>
            <w:proofErr w:type="spellEnd"/>
          </w:p>
        </w:tc>
        <w:tc>
          <w:tcPr>
            <w:tcW w:w="627" w:type="dxa"/>
            <w:tcBorders>
              <w:top w:val="single" w:sz="4" w:space="0" w:color="auto"/>
            </w:tcBorders>
            <w:vAlign w:val="center"/>
          </w:tcPr>
          <w:p w14:paraId="1A00C7AF" w14:textId="77777777" w:rsidR="001867E6" w:rsidRDefault="001867E6" w:rsidP="006A2E48">
            <w:pPr>
              <w:pStyle w:val="Tablebodyfirst"/>
              <w:jc w:val="center"/>
            </w:pPr>
            <w:r>
              <w:t>NGA50</w:t>
            </w:r>
          </w:p>
        </w:tc>
        <w:tc>
          <w:tcPr>
            <w:tcW w:w="657" w:type="dxa"/>
            <w:tcBorders>
              <w:top w:val="single" w:sz="4" w:space="0" w:color="auto"/>
            </w:tcBorders>
            <w:vAlign w:val="center"/>
          </w:tcPr>
          <w:p w14:paraId="2AF93F18" w14:textId="77777777" w:rsidR="001867E6" w:rsidRDefault="001867E6" w:rsidP="006A2E48">
            <w:pPr>
              <w:pStyle w:val="Tablebodyfirst"/>
              <w:jc w:val="center"/>
            </w:pPr>
            <w:r>
              <w:t>GF(%)</w:t>
            </w:r>
          </w:p>
        </w:tc>
      </w:tr>
      <w:tr w:rsidR="006A2E48" w14:paraId="0ADFA7E0" w14:textId="77777777" w:rsidTr="006A2E48">
        <w:trPr>
          <w:gridAfter w:val="1"/>
          <w:wAfter w:w="82" w:type="dxa"/>
          <w:trHeight w:val="412"/>
        </w:trPr>
        <w:tc>
          <w:tcPr>
            <w:tcW w:w="1074" w:type="dxa"/>
            <w:vAlign w:val="center"/>
          </w:tcPr>
          <w:p w14:paraId="227109CE" w14:textId="1C6A40F0" w:rsidR="001867E6" w:rsidRDefault="001867E6" w:rsidP="006A2E48">
            <w:pPr>
              <w:pStyle w:val="Tablebody"/>
              <w:jc w:val="center"/>
            </w:pPr>
            <w:r>
              <w:t>Omega</w:t>
            </w:r>
            <w:r w:rsidR="006A2E48">
              <w:t>3</w:t>
            </w:r>
          </w:p>
        </w:tc>
        <w:tc>
          <w:tcPr>
            <w:tcW w:w="687" w:type="dxa"/>
            <w:vAlign w:val="center"/>
          </w:tcPr>
          <w:p w14:paraId="6591EEEA" w14:textId="77777777" w:rsidR="001867E6" w:rsidRDefault="001867E6" w:rsidP="006A2E48">
            <w:pPr>
              <w:pStyle w:val="Tablebodylast"/>
              <w:jc w:val="center"/>
            </w:pPr>
          </w:p>
        </w:tc>
        <w:tc>
          <w:tcPr>
            <w:tcW w:w="557" w:type="dxa"/>
            <w:vAlign w:val="center"/>
          </w:tcPr>
          <w:p w14:paraId="2A876100" w14:textId="77777777" w:rsidR="001867E6" w:rsidRDefault="001867E6" w:rsidP="006A2E48">
            <w:pPr>
              <w:pStyle w:val="Tablebodylast"/>
              <w:jc w:val="center"/>
            </w:pPr>
          </w:p>
        </w:tc>
        <w:tc>
          <w:tcPr>
            <w:tcW w:w="536" w:type="dxa"/>
            <w:vAlign w:val="center"/>
          </w:tcPr>
          <w:p w14:paraId="26A0F63F" w14:textId="77777777" w:rsidR="001867E6" w:rsidRDefault="001867E6" w:rsidP="006A2E48">
            <w:pPr>
              <w:pStyle w:val="Tablebodylast"/>
              <w:jc w:val="center"/>
            </w:pPr>
          </w:p>
        </w:tc>
        <w:tc>
          <w:tcPr>
            <w:tcW w:w="617" w:type="dxa"/>
            <w:vAlign w:val="center"/>
          </w:tcPr>
          <w:p w14:paraId="0813A00A" w14:textId="77777777" w:rsidR="001867E6" w:rsidRDefault="001867E6" w:rsidP="006A2E48">
            <w:pPr>
              <w:pStyle w:val="Tablebody"/>
              <w:jc w:val="center"/>
            </w:pPr>
          </w:p>
        </w:tc>
        <w:tc>
          <w:tcPr>
            <w:tcW w:w="573" w:type="dxa"/>
            <w:vAlign w:val="center"/>
          </w:tcPr>
          <w:p w14:paraId="73EF483E" w14:textId="77777777" w:rsidR="001867E6" w:rsidRDefault="001867E6" w:rsidP="006A2E48">
            <w:pPr>
              <w:pStyle w:val="Tablebody"/>
              <w:jc w:val="center"/>
            </w:pPr>
          </w:p>
        </w:tc>
        <w:tc>
          <w:tcPr>
            <w:tcW w:w="493" w:type="dxa"/>
            <w:vAlign w:val="center"/>
          </w:tcPr>
          <w:p w14:paraId="3DB35D99" w14:textId="77777777" w:rsidR="001867E6" w:rsidRDefault="001867E6" w:rsidP="006A2E48">
            <w:pPr>
              <w:pStyle w:val="Tablebody"/>
              <w:jc w:val="center"/>
            </w:pPr>
          </w:p>
        </w:tc>
        <w:tc>
          <w:tcPr>
            <w:tcW w:w="373" w:type="dxa"/>
            <w:vAlign w:val="center"/>
          </w:tcPr>
          <w:p w14:paraId="251A7FCA" w14:textId="77777777" w:rsidR="001867E6" w:rsidRDefault="001867E6" w:rsidP="006A2E48">
            <w:pPr>
              <w:pStyle w:val="Tablebody"/>
              <w:jc w:val="center"/>
            </w:pPr>
          </w:p>
        </w:tc>
        <w:tc>
          <w:tcPr>
            <w:tcW w:w="535" w:type="dxa"/>
            <w:vAlign w:val="center"/>
          </w:tcPr>
          <w:p w14:paraId="04A52D9F" w14:textId="77777777" w:rsidR="001867E6" w:rsidRDefault="001867E6" w:rsidP="006A2E48">
            <w:pPr>
              <w:pStyle w:val="Tablebody"/>
              <w:jc w:val="center"/>
            </w:pPr>
          </w:p>
        </w:tc>
        <w:tc>
          <w:tcPr>
            <w:tcW w:w="552" w:type="dxa"/>
            <w:vAlign w:val="center"/>
          </w:tcPr>
          <w:p w14:paraId="4FD3D9F1" w14:textId="77777777" w:rsidR="001867E6" w:rsidRDefault="001867E6" w:rsidP="006A2E48">
            <w:pPr>
              <w:pStyle w:val="Tablebody"/>
              <w:jc w:val="center"/>
            </w:pPr>
          </w:p>
        </w:tc>
        <w:tc>
          <w:tcPr>
            <w:tcW w:w="375" w:type="dxa"/>
            <w:vAlign w:val="center"/>
          </w:tcPr>
          <w:p w14:paraId="0D5CE0B3" w14:textId="77777777" w:rsidR="001867E6" w:rsidRDefault="001867E6" w:rsidP="006A2E48">
            <w:pPr>
              <w:pStyle w:val="Tablebody"/>
              <w:jc w:val="center"/>
            </w:pPr>
          </w:p>
        </w:tc>
        <w:tc>
          <w:tcPr>
            <w:tcW w:w="573" w:type="dxa"/>
            <w:vAlign w:val="center"/>
          </w:tcPr>
          <w:p w14:paraId="3F24E6F4" w14:textId="77777777" w:rsidR="001867E6" w:rsidRDefault="001867E6" w:rsidP="006A2E48">
            <w:pPr>
              <w:pStyle w:val="Tablebody"/>
              <w:jc w:val="center"/>
            </w:pPr>
          </w:p>
        </w:tc>
        <w:tc>
          <w:tcPr>
            <w:tcW w:w="480" w:type="dxa"/>
            <w:vAlign w:val="center"/>
          </w:tcPr>
          <w:p w14:paraId="05BCF3C3" w14:textId="77777777" w:rsidR="001867E6" w:rsidRDefault="001867E6" w:rsidP="006A2E48">
            <w:pPr>
              <w:pStyle w:val="Tablebody"/>
              <w:jc w:val="center"/>
            </w:pPr>
          </w:p>
        </w:tc>
        <w:tc>
          <w:tcPr>
            <w:tcW w:w="613" w:type="dxa"/>
            <w:gridSpan w:val="2"/>
            <w:vAlign w:val="center"/>
          </w:tcPr>
          <w:p w14:paraId="3CE04081" w14:textId="77777777" w:rsidR="001867E6" w:rsidRDefault="001867E6" w:rsidP="006A2E48">
            <w:pPr>
              <w:pStyle w:val="Tablebody"/>
              <w:jc w:val="center"/>
            </w:pPr>
          </w:p>
        </w:tc>
        <w:tc>
          <w:tcPr>
            <w:tcW w:w="627" w:type="dxa"/>
            <w:vAlign w:val="center"/>
          </w:tcPr>
          <w:p w14:paraId="02176557" w14:textId="77777777" w:rsidR="001867E6" w:rsidRDefault="001867E6" w:rsidP="006A2E48">
            <w:pPr>
              <w:pStyle w:val="Tablebody"/>
              <w:jc w:val="center"/>
            </w:pPr>
          </w:p>
        </w:tc>
        <w:tc>
          <w:tcPr>
            <w:tcW w:w="657" w:type="dxa"/>
            <w:vAlign w:val="center"/>
          </w:tcPr>
          <w:p w14:paraId="5697713A" w14:textId="77777777" w:rsidR="001867E6" w:rsidRDefault="001867E6" w:rsidP="006A2E48">
            <w:pPr>
              <w:pStyle w:val="Tablebody"/>
              <w:jc w:val="center"/>
            </w:pPr>
          </w:p>
        </w:tc>
      </w:tr>
      <w:tr w:rsidR="006A2E48" w14:paraId="4D82B12C" w14:textId="77777777" w:rsidTr="006A2E48">
        <w:trPr>
          <w:gridAfter w:val="1"/>
          <w:wAfter w:w="82" w:type="dxa"/>
          <w:trHeight w:val="189"/>
        </w:trPr>
        <w:tc>
          <w:tcPr>
            <w:tcW w:w="1074" w:type="dxa"/>
            <w:vAlign w:val="center"/>
          </w:tcPr>
          <w:p w14:paraId="4137F2C6" w14:textId="77777777" w:rsidR="001867E6" w:rsidRDefault="001867E6" w:rsidP="006A2E48">
            <w:pPr>
              <w:pStyle w:val="Tablebody"/>
              <w:jc w:val="center"/>
            </w:pPr>
            <w:proofErr w:type="spellStart"/>
            <w:r>
              <w:t>SPADes</w:t>
            </w:r>
            <w:proofErr w:type="spellEnd"/>
          </w:p>
        </w:tc>
        <w:tc>
          <w:tcPr>
            <w:tcW w:w="687" w:type="dxa"/>
            <w:vAlign w:val="center"/>
          </w:tcPr>
          <w:p w14:paraId="1A696AD3" w14:textId="77777777" w:rsidR="001867E6" w:rsidRDefault="001867E6" w:rsidP="006A2E48">
            <w:pPr>
              <w:pStyle w:val="Tablebodylast"/>
              <w:jc w:val="center"/>
            </w:pPr>
          </w:p>
        </w:tc>
        <w:tc>
          <w:tcPr>
            <w:tcW w:w="557" w:type="dxa"/>
            <w:vAlign w:val="center"/>
          </w:tcPr>
          <w:p w14:paraId="5933F2C6" w14:textId="77777777" w:rsidR="001867E6" w:rsidRDefault="001867E6" w:rsidP="006A2E48">
            <w:pPr>
              <w:pStyle w:val="Tablebodylast"/>
              <w:jc w:val="center"/>
            </w:pPr>
          </w:p>
        </w:tc>
        <w:tc>
          <w:tcPr>
            <w:tcW w:w="536" w:type="dxa"/>
            <w:vAlign w:val="center"/>
          </w:tcPr>
          <w:p w14:paraId="38F572C4" w14:textId="77777777" w:rsidR="001867E6" w:rsidRDefault="001867E6" w:rsidP="006A2E48">
            <w:pPr>
              <w:pStyle w:val="Tablebodylast"/>
              <w:jc w:val="center"/>
            </w:pPr>
          </w:p>
        </w:tc>
        <w:tc>
          <w:tcPr>
            <w:tcW w:w="617" w:type="dxa"/>
            <w:vAlign w:val="center"/>
          </w:tcPr>
          <w:p w14:paraId="3B40A511" w14:textId="77777777" w:rsidR="001867E6" w:rsidRDefault="001867E6" w:rsidP="006A2E48">
            <w:pPr>
              <w:pStyle w:val="Tablebody"/>
              <w:jc w:val="center"/>
            </w:pPr>
          </w:p>
        </w:tc>
        <w:tc>
          <w:tcPr>
            <w:tcW w:w="573" w:type="dxa"/>
            <w:vAlign w:val="center"/>
          </w:tcPr>
          <w:p w14:paraId="3A094B2D" w14:textId="77777777" w:rsidR="001867E6" w:rsidRDefault="001867E6" w:rsidP="006A2E48">
            <w:pPr>
              <w:pStyle w:val="Tablebody"/>
              <w:jc w:val="center"/>
            </w:pPr>
            <w:bookmarkStart w:id="0" w:name="_GoBack"/>
            <w:bookmarkEnd w:id="0"/>
          </w:p>
        </w:tc>
        <w:tc>
          <w:tcPr>
            <w:tcW w:w="493" w:type="dxa"/>
            <w:vAlign w:val="center"/>
          </w:tcPr>
          <w:p w14:paraId="1195DA90" w14:textId="77777777" w:rsidR="001867E6" w:rsidRDefault="001867E6" w:rsidP="006A2E48">
            <w:pPr>
              <w:pStyle w:val="Tablebody"/>
              <w:jc w:val="center"/>
            </w:pPr>
          </w:p>
        </w:tc>
        <w:tc>
          <w:tcPr>
            <w:tcW w:w="373" w:type="dxa"/>
            <w:vAlign w:val="center"/>
          </w:tcPr>
          <w:p w14:paraId="3CEE784A" w14:textId="77777777" w:rsidR="001867E6" w:rsidRDefault="001867E6" w:rsidP="006A2E48">
            <w:pPr>
              <w:pStyle w:val="Tablebody"/>
              <w:jc w:val="center"/>
            </w:pPr>
          </w:p>
        </w:tc>
        <w:tc>
          <w:tcPr>
            <w:tcW w:w="535" w:type="dxa"/>
            <w:vAlign w:val="center"/>
          </w:tcPr>
          <w:p w14:paraId="23898EA5" w14:textId="77777777" w:rsidR="001867E6" w:rsidRDefault="001867E6" w:rsidP="006A2E48">
            <w:pPr>
              <w:pStyle w:val="Tablebody"/>
              <w:jc w:val="center"/>
            </w:pPr>
          </w:p>
        </w:tc>
        <w:tc>
          <w:tcPr>
            <w:tcW w:w="552" w:type="dxa"/>
            <w:vAlign w:val="center"/>
          </w:tcPr>
          <w:p w14:paraId="6F3208A9" w14:textId="77777777" w:rsidR="001867E6" w:rsidRDefault="001867E6" w:rsidP="006A2E48">
            <w:pPr>
              <w:pStyle w:val="Tablebody"/>
              <w:jc w:val="center"/>
            </w:pPr>
          </w:p>
        </w:tc>
        <w:tc>
          <w:tcPr>
            <w:tcW w:w="375" w:type="dxa"/>
            <w:vAlign w:val="center"/>
          </w:tcPr>
          <w:p w14:paraId="6D83287D" w14:textId="77777777" w:rsidR="001867E6" w:rsidRDefault="001867E6" w:rsidP="006A2E48">
            <w:pPr>
              <w:pStyle w:val="Tablebody"/>
              <w:jc w:val="center"/>
            </w:pPr>
          </w:p>
        </w:tc>
        <w:tc>
          <w:tcPr>
            <w:tcW w:w="573" w:type="dxa"/>
            <w:vAlign w:val="center"/>
          </w:tcPr>
          <w:p w14:paraId="5BB52F3B" w14:textId="77777777" w:rsidR="001867E6" w:rsidRDefault="001867E6" w:rsidP="006A2E48">
            <w:pPr>
              <w:pStyle w:val="Tablebody"/>
              <w:jc w:val="center"/>
            </w:pPr>
          </w:p>
        </w:tc>
        <w:tc>
          <w:tcPr>
            <w:tcW w:w="480" w:type="dxa"/>
            <w:vAlign w:val="center"/>
          </w:tcPr>
          <w:p w14:paraId="50E1D2F5" w14:textId="77777777" w:rsidR="001867E6" w:rsidRDefault="001867E6" w:rsidP="006A2E48">
            <w:pPr>
              <w:pStyle w:val="Tablebody"/>
              <w:jc w:val="center"/>
            </w:pPr>
          </w:p>
        </w:tc>
        <w:tc>
          <w:tcPr>
            <w:tcW w:w="613" w:type="dxa"/>
            <w:gridSpan w:val="2"/>
            <w:vAlign w:val="center"/>
          </w:tcPr>
          <w:p w14:paraId="0266E9C2" w14:textId="77777777" w:rsidR="001867E6" w:rsidRDefault="001867E6" w:rsidP="006A2E48">
            <w:pPr>
              <w:pStyle w:val="Tablebody"/>
              <w:jc w:val="center"/>
            </w:pPr>
          </w:p>
        </w:tc>
        <w:tc>
          <w:tcPr>
            <w:tcW w:w="627" w:type="dxa"/>
            <w:vAlign w:val="center"/>
          </w:tcPr>
          <w:p w14:paraId="41226868" w14:textId="77777777" w:rsidR="001867E6" w:rsidRDefault="001867E6" w:rsidP="006A2E48">
            <w:pPr>
              <w:pStyle w:val="Tablebody"/>
              <w:jc w:val="center"/>
            </w:pPr>
          </w:p>
        </w:tc>
        <w:tc>
          <w:tcPr>
            <w:tcW w:w="657" w:type="dxa"/>
            <w:vAlign w:val="center"/>
          </w:tcPr>
          <w:p w14:paraId="600C28B6" w14:textId="77777777" w:rsidR="001867E6" w:rsidRDefault="001867E6" w:rsidP="006A2E48">
            <w:pPr>
              <w:pStyle w:val="Tablebody"/>
              <w:jc w:val="center"/>
            </w:pPr>
          </w:p>
        </w:tc>
      </w:tr>
      <w:tr w:rsidR="006A2E48" w14:paraId="4E31E034" w14:textId="77777777" w:rsidTr="006A2E48">
        <w:trPr>
          <w:gridAfter w:val="1"/>
          <w:wAfter w:w="82" w:type="dxa"/>
          <w:trHeight w:val="189"/>
        </w:trPr>
        <w:tc>
          <w:tcPr>
            <w:tcW w:w="1074" w:type="dxa"/>
            <w:vAlign w:val="center"/>
          </w:tcPr>
          <w:p w14:paraId="29D3C3C5" w14:textId="77777777" w:rsidR="001867E6" w:rsidRDefault="001867E6" w:rsidP="006A2E48">
            <w:pPr>
              <w:pStyle w:val="Tablebody"/>
              <w:jc w:val="center"/>
            </w:pPr>
            <w:proofErr w:type="spellStart"/>
            <w:r>
              <w:t>ABySS</w:t>
            </w:r>
            <w:proofErr w:type="spellEnd"/>
          </w:p>
        </w:tc>
        <w:tc>
          <w:tcPr>
            <w:tcW w:w="687" w:type="dxa"/>
            <w:vAlign w:val="center"/>
          </w:tcPr>
          <w:p w14:paraId="3C0A2DCA" w14:textId="77777777" w:rsidR="001867E6" w:rsidRDefault="001867E6" w:rsidP="006A2E48">
            <w:pPr>
              <w:pStyle w:val="Tablebodylast"/>
              <w:jc w:val="center"/>
            </w:pPr>
          </w:p>
        </w:tc>
        <w:tc>
          <w:tcPr>
            <w:tcW w:w="557" w:type="dxa"/>
            <w:vAlign w:val="center"/>
          </w:tcPr>
          <w:p w14:paraId="6D8B7453" w14:textId="77777777" w:rsidR="001867E6" w:rsidRDefault="001867E6" w:rsidP="006A2E48">
            <w:pPr>
              <w:pStyle w:val="Tablebodylast"/>
              <w:jc w:val="center"/>
            </w:pPr>
          </w:p>
        </w:tc>
        <w:tc>
          <w:tcPr>
            <w:tcW w:w="536" w:type="dxa"/>
            <w:vAlign w:val="center"/>
          </w:tcPr>
          <w:p w14:paraId="19FA7B1B" w14:textId="77777777" w:rsidR="001867E6" w:rsidRDefault="001867E6" w:rsidP="006A2E48">
            <w:pPr>
              <w:pStyle w:val="Tablebodylast"/>
              <w:jc w:val="center"/>
            </w:pPr>
          </w:p>
        </w:tc>
        <w:tc>
          <w:tcPr>
            <w:tcW w:w="617" w:type="dxa"/>
            <w:vAlign w:val="center"/>
          </w:tcPr>
          <w:p w14:paraId="39518477" w14:textId="77777777" w:rsidR="001867E6" w:rsidRDefault="001867E6" w:rsidP="006A2E48">
            <w:pPr>
              <w:pStyle w:val="Tablebody"/>
              <w:jc w:val="center"/>
            </w:pPr>
          </w:p>
        </w:tc>
        <w:tc>
          <w:tcPr>
            <w:tcW w:w="573" w:type="dxa"/>
            <w:vAlign w:val="center"/>
          </w:tcPr>
          <w:p w14:paraId="075391EA" w14:textId="77777777" w:rsidR="001867E6" w:rsidRDefault="001867E6" w:rsidP="006A2E48">
            <w:pPr>
              <w:pStyle w:val="Tablebody"/>
              <w:jc w:val="center"/>
            </w:pPr>
          </w:p>
        </w:tc>
        <w:tc>
          <w:tcPr>
            <w:tcW w:w="493" w:type="dxa"/>
            <w:vAlign w:val="center"/>
          </w:tcPr>
          <w:p w14:paraId="2C1178D4" w14:textId="77777777" w:rsidR="001867E6" w:rsidRDefault="001867E6" w:rsidP="006A2E48">
            <w:pPr>
              <w:pStyle w:val="Tablebody"/>
              <w:jc w:val="center"/>
            </w:pPr>
          </w:p>
        </w:tc>
        <w:tc>
          <w:tcPr>
            <w:tcW w:w="373" w:type="dxa"/>
            <w:vAlign w:val="center"/>
          </w:tcPr>
          <w:p w14:paraId="3555270C" w14:textId="77777777" w:rsidR="001867E6" w:rsidRDefault="001867E6" w:rsidP="006A2E48">
            <w:pPr>
              <w:pStyle w:val="Tablebody"/>
              <w:jc w:val="center"/>
            </w:pPr>
          </w:p>
        </w:tc>
        <w:tc>
          <w:tcPr>
            <w:tcW w:w="535" w:type="dxa"/>
            <w:vAlign w:val="center"/>
          </w:tcPr>
          <w:p w14:paraId="1EC7BC85" w14:textId="77777777" w:rsidR="001867E6" w:rsidRDefault="001867E6" w:rsidP="006A2E48">
            <w:pPr>
              <w:pStyle w:val="Tablebody"/>
              <w:jc w:val="center"/>
            </w:pPr>
          </w:p>
        </w:tc>
        <w:tc>
          <w:tcPr>
            <w:tcW w:w="552" w:type="dxa"/>
            <w:vAlign w:val="center"/>
          </w:tcPr>
          <w:p w14:paraId="6F9806E4" w14:textId="77777777" w:rsidR="001867E6" w:rsidRDefault="001867E6" w:rsidP="006A2E48">
            <w:pPr>
              <w:pStyle w:val="Tablebody"/>
              <w:jc w:val="center"/>
            </w:pPr>
          </w:p>
        </w:tc>
        <w:tc>
          <w:tcPr>
            <w:tcW w:w="375" w:type="dxa"/>
            <w:vAlign w:val="center"/>
          </w:tcPr>
          <w:p w14:paraId="364D4B18" w14:textId="77777777" w:rsidR="001867E6" w:rsidRDefault="001867E6" w:rsidP="006A2E48">
            <w:pPr>
              <w:pStyle w:val="Tablebody"/>
              <w:jc w:val="center"/>
            </w:pPr>
          </w:p>
        </w:tc>
        <w:tc>
          <w:tcPr>
            <w:tcW w:w="573" w:type="dxa"/>
            <w:vAlign w:val="center"/>
          </w:tcPr>
          <w:p w14:paraId="4E46B1B5" w14:textId="77777777" w:rsidR="001867E6" w:rsidRDefault="001867E6" w:rsidP="006A2E48">
            <w:pPr>
              <w:pStyle w:val="Tablebody"/>
              <w:jc w:val="center"/>
            </w:pPr>
          </w:p>
        </w:tc>
        <w:tc>
          <w:tcPr>
            <w:tcW w:w="480" w:type="dxa"/>
            <w:vAlign w:val="center"/>
          </w:tcPr>
          <w:p w14:paraId="091C4C5E" w14:textId="77777777" w:rsidR="001867E6" w:rsidRDefault="001867E6" w:rsidP="006A2E48">
            <w:pPr>
              <w:pStyle w:val="Tablebody"/>
              <w:jc w:val="center"/>
            </w:pPr>
          </w:p>
        </w:tc>
        <w:tc>
          <w:tcPr>
            <w:tcW w:w="613" w:type="dxa"/>
            <w:gridSpan w:val="2"/>
            <w:vAlign w:val="center"/>
          </w:tcPr>
          <w:p w14:paraId="1DAA5CEF" w14:textId="77777777" w:rsidR="001867E6" w:rsidRDefault="001867E6" w:rsidP="006A2E48">
            <w:pPr>
              <w:pStyle w:val="Tablebody"/>
              <w:jc w:val="center"/>
            </w:pPr>
          </w:p>
        </w:tc>
        <w:tc>
          <w:tcPr>
            <w:tcW w:w="627" w:type="dxa"/>
            <w:vAlign w:val="center"/>
          </w:tcPr>
          <w:p w14:paraId="2BBC0BCD" w14:textId="77777777" w:rsidR="001867E6" w:rsidRDefault="001867E6" w:rsidP="006A2E48">
            <w:pPr>
              <w:pStyle w:val="Tablebody"/>
              <w:jc w:val="center"/>
            </w:pPr>
          </w:p>
        </w:tc>
        <w:tc>
          <w:tcPr>
            <w:tcW w:w="657" w:type="dxa"/>
            <w:vAlign w:val="center"/>
          </w:tcPr>
          <w:p w14:paraId="681D7C2E" w14:textId="77777777" w:rsidR="001867E6" w:rsidRDefault="001867E6" w:rsidP="006A2E48">
            <w:pPr>
              <w:pStyle w:val="Tablebody"/>
              <w:jc w:val="center"/>
            </w:pPr>
          </w:p>
        </w:tc>
      </w:tr>
      <w:tr w:rsidR="006A2E48" w14:paraId="41094730" w14:textId="77777777" w:rsidTr="006A2E48">
        <w:trPr>
          <w:gridAfter w:val="1"/>
          <w:wAfter w:w="82" w:type="dxa"/>
          <w:trHeight w:val="300"/>
        </w:trPr>
        <w:tc>
          <w:tcPr>
            <w:tcW w:w="1074" w:type="dxa"/>
            <w:vAlign w:val="center"/>
          </w:tcPr>
          <w:p w14:paraId="6A730F84" w14:textId="77777777" w:rsidR="001867E6" w:rsidRDefault="001867E6" w:rsidP="006A2E48">
            <w:pPr>
              <w:pStyle w:val="Tablebodylast"/>
              <w:jc w:val="center"/>
            </w:pPr>
            <w:proofErr w:type="spellStart"/>
            <w:r>
              <w:t>MegaHit</w:t>
            </w:r>
            <w:proofErr w:type="spellEnd"/>
          </w:p>
        </w:tc>
        <w:tc>
          <w:tcPr>
            <w:tcW w:w="687" w:type="dxa"/>
            <w:vAlign w:val="center"/>
          </w:tcPr>
          <w:p w14:paraId="5B2738FB" w14:textId="77777777" w:rsidR="001867E6" w:rsidRDefault="001867E6" w:rsidP="006A2E48">
            <w:pPr>
              <w:pStyle w:val="Tablebodylast"/>
              <w:jc w:val="center"/>
            </w:pPr>
          </w:p>
        </w:tc>
        <w:tc>
          <w:tcPr>
            <w:tcW w:w="557" w:type="dxa"/>
            <w:vAlign w:val="center"/>
          </w:tcPr>
          <w:p w14:paraId="0AC1E2F5" w14:textId="77777777" w:rsidR="001867E6" w:rsidRDefault="001867E6" w:rsidP="006A2E48">
            <w:pPr>
              <w:pStyle w:val="Tablebodylast"/>
              <w:jc w:val="center"/>
            </w:pPr>
          </w:p>
        </w:tc>
        <w:tc>
          <w:tcPr>
            <w:tcW w:w="536" w:type="dxa"/>
            <w:vAlign w:val="center"/>
          </w:tcPr>
          <w:p w14:paraId="4B2C8873" w14:textId="77777777" w:rsidR="001867E6" w:rsidRDefault="001867E6" w:rsidP="006A2E48">
            <w:pPr>
              <w:pStyle w:val="Tablebodylast"/>
              <w:jc w:val="center"/>
            </w:pPr>
          </w:p>
        </w:tc>
        <w:tc>
          <w:tcPr>
            <w:tcW w:w="617" w:type="dxa"/>
            <w:vAlign w:val="center"/>
          </w:tcPr>
          <w:p w14:paraId="067B8D81" w14:textId="77777777" w:rsidR="001867E6" w:rsidRDefault="001867E6" w:rsidP="006A2E48">
            <w:pPr>
              <w:pStyle w:val="Tablebodylast"/>
              <w:jc w:val="center"/>
            </w:pPr>
          </w:p>
        </w:tc>
        <w:tc>
          <w:tcPr>
            <w:tcW w:w="573" w:type="dxa"/>
            <w:vAlign w:val="center"/>
          </w:tcPr>
          <w:p w14:paraId="4CF04CA7" w14:textId="77777777" w:rsidR="001867E6" w:rsidRDefault="001867E6" w:rsidP="006A2E48">
            <w:pPr>
              <w:pStyle w:val="Tablebodylast"/>
              <w:jc w:val="center"/>
            </w:pPr>
          </w:p>
        </w:tc>
        <w:tc>
          <w:tcPr>
            <w:tcW w:w="493" w:type="dxa"/>
            <w:vAlign w:val="center"/>
          </w:tcPr>
          <w:p w14:paraId="39B984C0" w14:textId="77777777" w:rsidR="001867E6" w:rsidRDefault="001867E6" w:rsidP="006A2E48">
            <w:pPr>
              <w:pStyle w:val="Tablebodylast"/>
              <w:jc w:val="center"/>
            </w:pPr>
          </w:p>
        </w:tc>
        <w:tc>
          <w:tcPr>
            <w:tcW w:w="373" w:type="dxa"/>
            <w:vAlign w:val="center"/>
          </w:tcPr>
          <w:p w14:paraId="1D268AAD" w14:textId="77777777" w:rsidR="001867E6" w:rsidRDefault="001867E6" w:rsidP="006A2E48">
            <w:pPr>
              <w:pStyle w:val="Tablebodylast"/>
              <w:jc w:val="center"/>
            </w:pPr>
          </w:p>
        </w:tc>
        <w:tc>
          <w:tcPr>
            <w:tcW w:w="535" w:type="dxa"/>
            <w:vAlign w:val="center"/>
          </w:tcPr>
          <w:p w14:paraId="6AA2C8EA" w14:textId="77777777" w:rsidR="001867E6" w:rsidRDefault="001867E6" w:rsidP="006A2E48">
            <w:pPr>
              <w:pStyle w:val="Tablebodylast"/>
              <w:jc w:val="center"/>
            </w:pPr>
          </w:p>
        </w:tc>
        <w:tc>
          <w:tcPr>
            <w:tcW w:w="552" w:type="dxa"/>
            <w:vAlign w:val="center"/>
          </w:tcPr>
          <w:p w14:paraId="0202B073" w14:textId="77777777" w:rsidR="001867E6" w:rsidRDefault="001867E6" w:rsidP="006A2E48">
            <w:pPr>
              <w:pStyle w:val="Tablebodylast"/>
              <w:jc w:val="center"/>
            </w:pPr>
          </w:p>
        </w:tc>
        <w:tc>
          <w:tcPr>
            <w:tcW w:w="375" w:type="dxa"/>
            <w:vAlign w:val="center"/>
          </w:tcPr>
          <w:p w14:paraId="3C37CD6C" w14:textId="77777777" w:rsidR="001867E6" w:rsidRDefault="001867E6" w:rsidP="006A2E48">
            <w:pPr>
              <w:pStyle w:val="Tablebodylast"/>
              <w:jc w:val="center"/>
            </w:pPr>
          </w:p>
        </w:tc>
        <w:tc>
          <w:tcPr>
            <w:tcW w:w="573" w:type="dxa"/>
            <w:vAlign w:val="center"/>
          </w:tcPr>
          <w:p w14:paraId="43D07111" w14:textId="77777777" w:rsidR="001867E6" w:rsidRDefault="001867E6" w:rsidP="006A2E48">
            <w:pPr>
              <w:pStyle w:val="Tablebodylast"/>
              <w:jc w:val="center"/>
            </w:pPr>
          </w:p>
        </w:tc>
        <w:tc>
          <w:tcPr>
            <w:tcW w:w="480" w:type="dxa"/>
            <w:vAlign w:val="center"/>
          </w:tcPr>
          <w:p w14:paraId="2E8E78EF" w14:textId="77777777" w:rsidR="001867E6" w:rsidRDefault="001867E6" w:rsidP="006A2E48">
            <w:pPr>
              <w:pStyle w:val="Tablebodylast"/>
              <w:jc w:val="center"/>
            </w:pPr>
          </w:p>
        </w:tc>
        <w:tc>
          <w:tcPr>
            <w:tcW w:w="613" w:type="dxa"/>
            <w:gridSpan w:val="2"/>
            <w:vAlign w:val="center"/>
          </w:tcPr>
          <w:p w14:paraId="2AC247E9" w14:textId="77777777" w:rsidR="001867E6" w:rsidRDefault="001867E6" w:rsidP="006A2E48">
            <w:pPr>
              <w:pStyle w:val="Tablebodylast"/>
              <w:jc w:val="center"/>
            </w:pPr>
          </w:p>
        </w:tc>
        <w:tc>
          <w:tcPr>
            <w:tcW w:w="627" w:type="dxa"/>
            <w:vAlign w:val="center"/>
          </w:tcPr>
          <w:p w14:paraId="7A4D7C60" w14:textId="77777777" w:rsidR="001867E6" w:rsidRDefault="001867E6" w:rsidP="006A2E48">
            <w:pPr>
              <w:pStyle w:val="Tablebodylast"/>
              <w:jc w:val="center"/>
            </w:pPr>
          </w:p>
        </w:tc>
        <w:tc>
          <w:tcPr>
            <w:tcW w:w="657" w:type="dxa"/>
            <w:vAlign w:val="center"/>
          </w:tcPr>
          <w:p w14:paraId="09A95AB3" w14:textId="77777777" w:rsidR="001867E6" w:rsidRDefault="001867E6" w:rsidP="006A2E48">
            <w:pPr>
              <w:pStyle w:val="Tablebodylast"/>
              <w:jc w:val="center"/>
            </w:pPr>
          </w:p>
        </w:tc>
      </w:tr>
      <w:tr w:rsidR="006A2E48" w14:paraId="4FE78DD1" w14:textId="77777777" w:rsidTr="006A2E48">
        <w:trPr>
          <w:gridAfter w:val="1"/>
          <w:wAfter w:w="82" w:type="dxa"/>
          <w:trHeight w:val="355"/>
        </w:trPr>
        <w:tc>
          <w:tcPr>
            <w:tcW w:w="1074" w:type="dxa"/>
            <w:vAlign w:val="center"/>
          </w:tcPr>
          <w:p w14:paraId="1BFCE531" w14:textId="38186F15" w:rsidR="001867E6" w:rsidRDefault="001867E6" w:rsidP="006A2E48">
            <w:pPr>
              <w:pStyle w:val="Tablebodylast"/>
              <w:jc w:val="center"/>
            </w:pPr>
            <w:r>
              <w:t>R</w:t>
            </w:r>
            <w:r w:rsidR="006A2E48">
              <w:t>AY</w:t>
            </w:r>
          </w:p>
        </w:tc>
        <w:tc>
          <w:tcPr>
            <w:tcW w:w="687" w:type="dxa"/>
            <w:vAlign w:val="center"/>
          </w:tcPr>
          <w:p w14:paraId="4FF139BA" w14:textId="77777777" w:rsidR="001867E6" w:rsidRDefault="001867E6" w:rsidP="006A2E48">
            <w:pPr>
              <w:pStyle w:val="Tablebodylast"/>
              <w:jc w:val="center"/>
            </w:pPr>
          </w:p>
        </w:tc>
        <w:tc>
          <w:tcPr>
            <w:tcW w:w="557" w:type="dxa"/>
            <w:vAlign w:val="center"/>
          </w:tcPr>
          <w:p w14:paraId="744085DC" w14:textId="77777777" w:rsidR="001867E6" w:rsidRDefault="001867E6" w:rsidP="006A2E48">
            <w:pPr>
              <w:pStyle w:val="Tablebodylast"/>
              <w:jc w:val="center"/>
            </w:pPr>
          </w:p>
        </w:tc>
        <w:tc>
          <w:tcPr>
            <w:tcW w:w="536" w:type="dxa"/>
            <w:vAlign w:val="center"/>
          </w:tcPr>
          <w:p w14:paraId="6A5C3B56" w14:textId="77777777" w:rsidR="001867E6" w:rsidRDefault="001867E6" w:rsidP="006A2E48">
            <w:pPr>
              <w:pStyle w:val="Tablebodylast"/>
              <w:jc w:val="center"/>
            </w:pPr>
          </w:p>
        </w:tc>
        <w:tc>
          <w:tcPr>
            <w:tcW w:w="617" w:type="dxa"/>
            <w:vAlign w:val="center"/>
          </w:tcPr>
          <w:p w14:paraId="6F5D3A2A" w14:textId="77777777" w:rsidR="001867E6" w:rsidRDefault="001867E6" w:rsidP="006A2E48">
            <w:pPr>
              <w:pStyle w:val="Tablebodylast"/>
              <w:jc w:val="center"/>
            </w:pPr>
          </w:p>
        </w:tc>
        <w:tc>
          <w:tcPr>
            <w:tcW w:w="573" w:type="dxa"/>
            <w:vAlign w:val="center"/>
          </w:tcPr>
          <w:p w14:paraId="668D5AFC" w14:textId="77777777" w:rsidR="001867E6" w:rsidRDefault="001867E6" w:rsidP="006A2E48">
            <w:pPr>
              <w:pStyle w:val="Tablebodylast"/>
              <w:jc w:val="center"/>
            </w:pPr>
          </w:p>
        </w:tc>
        <w:tc>
          <w:tcPr>
            <w:tcW w:w="493" w:type="dxa"/>
            <w:vAlign w:val="center"/>
          </w:tcPr>
          <w:p w14:paraId="57E86DF5" w14:textId="77777777" w:rsidR="001867E6" w:rsidRDefault="001867E6" w:rsidP="006A2E48">
            <w:pPr>
              <w:pStyle w:val="Tablebodylast"/>
              <w:jc w:val="center"/>
            </w:pPr>
          </w:p>
        </w:tc>
        <w:tc>
          <w:tcPr>
            <w:tcW w:w="373" w:type="dxa"/>
            <w:vAlign w:val="center"/>
          </w:tcPr>
          <w:p w14:paraId="0ACF25E0" w14:textId="77777777" w:rsidR="001867E6" w:rsidRDefault="001867E6" w:rsidP="006A2E48">
            <w:pPr>
              <w:pStyle w:val="Tablebodylast"/>
              <w:jc w:val="center"/>
            </w:pPr>
          </w:p>
        </w:tc>
        <w:tc>
          <w:tcPr>
            <w:tcW w:w="535" w:type="dxa"/>
            <w:vAlign w:val="center"/>
          </w:tcPr>
          <w:p w14:paraId="47ECBBFF" w14:textId="77777777" w:rsidR="001867E6" w:rsidRDefault="001867E6" w:rsidP="006A2E48">
            <w:pPr>
              <w:pStyle w:val="Tablebodylast"/>
              <w:jc w:val="center"/>
            </w:pPr>
          </w:p>
        </w:tc>
        <w:tc>
          <w:tcPr>
            <w:tcW w:w="552" w:type="dxa"/>
            <w:vAlign w:val="center"/>
          </w:tcPr>
          <w:p w14:paraId="5FF4F343" w14:textId="77777777" w:rsidR="001867E6" w:rsidRDefault="001867E6" w:rsidP="006A2E48">
            <w:pPr>
              <w:pStyle w:val="Tablebodylast"/>
              <w:jc w:val="center"/>
            </w:pPr>
          </w:p>
        </w:tc>
        <w:tc>
          <w:tcPr>
            <w:tcW w:w="375" w:type="dxa"/>
            <w:vAlign w:val="center"/>
          </w:tcPr>
          <w:p w14:paraId="53253212" w14:textId="77777777" w:rsidR="001867E6" w:rsidRDefault="001867E6" w:rsidP="006A2E48">
            <w:pPr>
              <w:pStyle w:val="Tablebodylast"/>
              <w:jc w:val="center"/>
            </w:pPr>
          </w:p>
        </w:tc>
        <w:tc>
          <w:tcPr>
            <w:tcW w:w="573" w:type="dxa"/>
            <w:vAlign w:val="center"/>
          </w:tcPr>
          <w:p w14:paraId="54FEC97C" w14:textId="77777777" w:rsidR="001867E6" w:rsidRDefault="001867E6" w:rsidP="006A2E48">
            <w:pPr>
              <w:pStyle w:val="Tablebodylast"/>
              <w:jc w:val="center"/>
            </w:pPr>
          </w:p>
        </w:tc>
        <w:tc>
          <w:tcPr>
            <w:tcW w:w="480" w:type="dxa"/>
            <w:vAlign w:val="center"/>
          </w:tcPr>
          <w:p w14:paraId="4D8477EE" w14:textId="77777777" w:rsidR="001867E6" w:rsidRDefault="001867E6" w:rsidP="006A2E48">
            <w:pPr>
              <w:pStyle w:val="Tablebodylast"/>
              <w:jc w:val="center"/>
            </w:pPr>
          </w:p>
        </w:tc>
        <w:tc>
          <w:tcPr>
            <w:tcW w:w="613" w:type="dxa"/>
            <w:gridSpan w:val="2"/>
            <w:vAlign w:val="center"/>
          </w:tcPr>
          <w:p w14:paraId="6DF9D627" w14:textId="77777777" w:rsidR="001867E6" w:rsidRDefault="001867E6" w:rsidP="006A2E48">
            <w:pPr>
              <w:pStyle w:val="Tablebodylast"/>
              <w:jc w:val="center"/>
            </w:pPr>
          </w:p>
        </w:tc>
        <w:tc>
          <w:tcPr>
            <w:tcW w:w="627" w:type="dxa"/>
            <w:vAlign w:val="center"/>
          </w:tcPr>
          <w:p w14:paraId="24997734" w14:textId="77777777" w:rsidR="001867E6" w:rsidRDefault="001867E6" w:rsidP="006A2E48">
            <w:pPr>
              <w:pStyle w:val="Tablebodylast"/>
              <w:jc w:val="center"/>
            </w:pPr>
          </w:p>
        </w:tc>
        <w:tc>
          <w:tcPr>
            <w:tcW w:w="657" w:type="dxa"/>
            <w:vAlign w:val="center"/>
          </w:tcPr>
          <w:p w14:paraId="2E7EC20F" w14:textId="77777777" w:rsidR="001867E6" w:rsidRDefault="001867E6" w:rsidP="006A2E48">
            <w:pPr>
              <w:pStyle w:val="Tablebodylast"/>
              <w:jc w:val="center"/>
            </w:pPr>
          </w:p>
        </w:tc>
      </w:tr>
      <w:tr w:rsidR="006A2E48" w14:paraId="23A5FEB2" w14:textId="77777777" w:rsidTr="006A2E48">
        <w:trPr>
          <w:gridAfter w:val="1"/>
          <w:wAfter w:w="82" w:type="dxa"/>
          <w:trHeight w:val="300"/>
        </w:trPr>
        <w:tc>
          <w:tcPr>
            <w:tcW w:w="1074" w:type="dxa"/>
            <w:vAlign w:val="center"/>
          </w:tcPr>
          <w:p w14:paraId="01387900" w14:textId="77777777" w:rsidR="001867E6" w:rsidRDefault="001867E6" w:rsidP="006A2E48">
            <w:pPr>
              <w:pStyle w:val="Tablebodylast"/>
              <w:jc w:val="center"/>
            </w:pPr>
            <w:proofErr w:type="spellStart"/>
            <w:r>
              <w:t>HipMer</w:t>
            </w:r>
            <w:proofErr w:type="spellEnd"/>
          </w:p>
        </w:tc>
        <w:tc>
          <w:tcPr>
            <w:tcW w:w="687" w:type="dxa"/>
            <w:vAlign w:val="center"/>
          </w:tcPr>
          <w:p w14:paraId="6E86A1F4" w14:textId="77777777" w:rsidR="001867E6" w:rsidRDefault="001867E6" w:rsidP="006A2E48">
            <w:pPr>
              <w:pStyle w:val="Tablebodylast"/>
              <w:jc w:val="center"/>
            </w:pPr>
          </w:p>
        </w:tc>
        <w:tc>
          <w:tcPr>
            <w:tcW w:w="557" w:type="dxa"/>
            <w:vAlign w:val="center"/>
          </w:tcPr>
          <w:p w14:paraId="3E000D3F" w14:textId="77777777" w:rsidR="001867E6" w:rsidRDefault="001867E6" w:rsidP="006A2E48">
            <w:pPr>
              <w:pStyle w:val="Tablebodylast"/>
              <w:jc w:val="center"/>
            </w:pPr>
          </w:p>
        </w:tc>
        <w:tc>
          <w:tcPr>
            <w:tcW w:w="536" w:type="dxa"/>
            <w:vAlign w:val="center"/>
          </w:tcPr>
          <w:p w14:paraId="2308F5CB" w14:textId="77777777" w:rsidR="001867E6" w:rsidRDefault="001867E6" w:rsidP="006A2E48">
            <w:pPr>
              <w:pStyle w:val="Tablebodylast"/>
              <w:jc w:val="center"/>
            </w:pPr>
          </w:p>
        </w:tc>
        <w:tc>
          <w:tcPr>
            <w:tcW w:w="617" w:type="dxa"/>
            <w:vAlign w:val="center"/>
          </w:tcPr>
          <w:p w14:paraId="29CA204C" w14:textId="77777777" w:rsidR="001867E6" w:rsidRDefault="001867E6" w:rsidP="006A2E48">
            <w:pPr>
              <w:pStyle w:val="Tablebodylast"/>
              <w:jc w:val="center"/>
            </w:pPr>
          </w:p>
        </w:tc>
        <w:tc>
          <w:tcPr>
            <w:tcW w:w="573" w:type="dxa"/>
            <w:vAlign w:val="center"/>
          </w:tcPr>
          <w:p w14:paraId="4A45DC40" w14:textId="77777777" w:rsidR="001867E6" w:rsidRDefault="001867E6" w:rsidP="006A2E48">
            <w:pPr>
              <w:pStyle w:val="Tablebodylast"/>
              <w:jc w:val="center"/>
            </w:pPr>
          </w:p>
        </w:tc>
        <w:tc>
          <w:tcPr>
            <w:tcW w:w="493" w:type="dxa"/>
            <w:vAlign w:val="center"/>
          </w:tcPr>
          <w:p w14:paraId="751F5884" w14:textId="77777777" w:rsidR="001867E6" w:rsidRDefault="001867E6" w:rsidP="006A2E48">
            <w:pPr>
              <w:pStyle w:val="Tablebodylast"/>
              <w:jc w:val="center"/>
            </w:pPr>
          </w:p>
        </w:tc>
        <w:tc>
          <w:tcPr>
            <w:tcW w:w="373" w:type="dxa"/>
            <w:vAlign w:val="center"/>
          </w:tcPr>
          <w:p w14:paraId="4E93B4EA" w14:textId="77777777" w:rsidR="001867E6" w:rsidRDefault="001867E6" w:rsidP="006A2E48">
            <w:pPr>
              <w:pStyle w:val="Tablebodylast"/>
              <w:jc w:val="center"/>
            </w:pPr>
          </w:p>
        </w:tc>
        <w:tc>
          <w:tcPr>
            <w:tcW w:w="535" w:type="dxa"/>
            <w:vAlign w:val="center"/>
          </w:tcPr>
          <w:p w14:paraId="139063AE" w14:textId="77777777" w:rsidR="001867E6" w:rsidRDefault="001867E6" w:rsidP="006A2E48">
            <w:pPr>
              <w:pStyle w:val="Tablebodylast"/>
              <w:jc w:val="center"/>
            </w:pPr>
          </w:p>
        </w:tc>
        <w:tc>
          <w:tcPr>
            <w:tcW w:w="552" w:type="dxa"/>
            <w:vAlign w:val="center"/>
          </w:tcPr>
          <w:p w14:paraId="254CC88E" w14:textId="77777777" w:rsidR="001867E6" w:rsidRDefault="001867E6" w:rsidP="006A2E48">
            <w:pPr>
              <w:pStyle w:val="Tablebodylast"/>
              <w:jc w:val="center"/>
            </w:pPr>
          </w:p>
        </w:tc>
        <w:tc>
          <w:tcPr>
            <w:tcW w:w="375" w:type="dxa"/>
            <w:vAlign w:val="center"/>
          </w:tcPr>
          <w:p w14:paraId="0DB6A7DC" w14:textId="77777777" w:rsidR="001867E6" w:rsidRDefault="001867E6" w:rsidP="006A2E48">
            <w:pPr>
              <w:pStyle w:val="Tablebodylast"/>
              <w:jc w:val="center"/>
            </w:pPr>
          </w:p>
        </w:tc>
        <w:tc>
          <w:tcPr>
            <w:tcW w:w="573" w:type="dxa"/>
            <w:vAlign w:val="center"/>
          </w:tcPr>
          <w:p w14:paraId="33526635" w14:textId="77777777" w:rsidR="001867E6" w:rsidRDefault="001867E6" w:rsidP="006A2E48">
            <w:pPr>
              <w:pStyle w:val="Tablebodylast"/>
              <w:jc w:val="center"/>
            </w:pPr>
          </w:p>
        </w:tc>
        <w:tc>
          <w:tcPr>
            <w:tcW w:w="480" w:type="dxa"/>
            <w:vAlign w:val="center"/>
          </w:tcPr>
          <w:p w14:paraId="7B27DD6F" w14:textId="77777777" w:rsidR="001867E6" w:rsidRDefault="001867E6" w:rsidP="006A2E48">
            <w:pPr>
              <w:pStyle w:val="Tablebodylast"/>
              <w:jc w:val="center"/>
            </w:pPr>
          </w:p>
        </w:tc>
        <w:tc>
          <w:tcPr>
            <w:tcW w:w="613" w:type="dxa"/>
            <w:gridSpan w:val="2"/>
            <w:vAlign w:val="center"/>
          </w:tcPr>
          <w:p w14:paraId="4366F7E4" w14:textId="77777777" w:rsidR="001867E6" w:rsidRDefault="001867E6" w:rsidP="006A2E48">
            <w:pPr>
              <w:pStyle w:val="Tablebodylast"/>
              <w:jc w:val="center"/>
            </w:pPr>
          </w:p>
        </w:tc>
        <w:tc>
          <w:tcPr>
            <w:tcW w:w="627" w:type="dxa"/>
            <w:vAlign w:val="center"/>
          </w:tcPr>
          <w:p w14:paraId="6040B660" w14:textId="77777777" w:rsidR="001867E6" w:rsidRDefault="001867E6" w:rsidP="006A2E48">
            <w:pPr>
              <w:pStyle w:val="Tablebodylast"/>
              <w:jc w:val="center"/>
            </w:pPr>
          </w:p>
        </w:tc>
        <w:tc>
          <w:tcPr>
            <w:tcW w:w="657" w:type="dxa"/>
            <w:vAlign w:val="center"/>
          </w:tcPr>
          <w:p w14:paraId="2DA164D5" w14:textId="77777777" w:rsidR="001867E6" w:rsidRDefault="001867E6" w:rsidP="006A2E48">
            <w:pPr>
              <w:pStyle w:val="Tablebodylast"/>
              <w:jc w:val="center"/>
            </w:pPr>
          </w:p>
        </w:tc>
      </w:tr>
      <w:tr w:rsidR="001867E6" w14:paraId="5F46448C" w14:textId="77777777" w:rsidTr="001867E6">
        <w:trPr>
          <w:trHeight w:val="300"/>
        </w:trPr>
        <w:tc>
          <w:tcPr>
            <w:tcW w:w="9404" w:type="dxa"/>
            <w:gridSpan w:val="18"/>
            <w:tcBorders>
              <w:bottom w:val="single" w:sz="4" w:space="0" w:color="auto"/>
            </w:tcBorders>
            <w:vAlign w:val="center"/>
          </w:tcPr>
          <w:p w14:paraId="3228B8CC" w14:textId="77777777" w:rsidR="001867E6" w:rsidRPr="009E74BF" w:rsidRDefault="001867E6" w:rsidP="001867E6">
            <w:pPr>
              <w:pStyle w:val="Tablebodylast"/>
              <w:jc w:val="center"/>
              <w:rPr>
                <w:sz w:val="15"/>
              </w:rPr>
            </w:pPr>
            <w:r w:rsidRPr="009E74BF">
              <w:rPr>
                <w:sz w:val="15"/>
              </w:rPr>
              <w:t>This is table foot note sample text This is table foot note sample text This is table foot note sample text</w:t>
            </w:r>
          </w:p>
        </w:tc>
      </w:tr>
    </w:tbl>
    <w:p w14:paraId="12524F2C" w14:textId="77777777"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AB4038D"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1642F95F" w14:textId="77777777" w:rsidR="00CD30F5" w:rsidRPr="00366351" w:rsidRDefault="00CD1067" w:rsidP="00CD1067">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w:t>
      </w:r>
    </w:p>
    <w:p w14:paraId="66F93DBE" w14:textId="65FC2C79" w:rsidR="00CD1067" w:rsidRPr="00366351" w:rsidRDefault="00CD1067" w:rsidP="00CD1067">
      <w:pPr>
        <w:pStyle w:val="ParaNoInd"/>
        <w:rPr>
          <w:sz w:val="16"/>
          <w:szCs w:val="16"/>
        </w:rPr>
      </w:pPr>
      <w:r w:rsidRPr="00366351">
        <w:rPr>
          <w:sz w:val="16"/>
          <w:szCs w:val="16"/>
        </w:rPr>
        <w:t>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14:paraId="02C2963E"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14:paraId="0A987F57" w14:textId="77777777">
        <w:tc>
          <w:tcPr>
            <w:tcW w:w="740" w:type="dxa"/>
            <w:tcBorders>
              <w:top w:val="single" w:sz="4" w:space="0" w:color="auto"/>
              <w:bottom w:val="single" w:sz="4" w:space="0" w:color="auto"/>
            </w:tcBorders>
          </w:tcPr>
          <w:p w14:paraId="7E0A716E" w14:textId="77777777" w:rsidR="00D83B8A" w:rsidRDefault="00D83B8A">
            <w:pPr>
              <w:pStyle w:val="TableColumnhead"/>
            </w:pPr>
            <w:r>
              <w:t>|S|</w:t>
            </w:r>
          </w:p>
        </w:tc>
        <w:tc>
          <w:tcPr>
            <w:tcW w:w="1704" w:type="dxa"/>
            <w:tcBorders>
              <w:top w:val="single" w:sz="4" w:space="0" w:color="auto"/>
              <w:bottom w:val="single" w:sz="4" w:space="0" w:color="auto"/>
            </w:tcBorders>
          </w:tcPr>
          <w:p w14:paraId="71AE8FE8" w14:textId="77777777" w:rsidR="00D83B8A" w:rsidRDefault="00D83B8A">
            <w:pPr>
              <w:pStyle w:val="TableColumnhead"/>
            </w:pPr>
            <w:r>
              <w:t>Predicted cost</w:t>
            </w:r>
          </w:p>
        </w:tc>
        <w:tc>
          <w:tcPr>
            <w:tcW w:w="816" w:type="dxa"/>
            <w:tcBorders>
              <w:top w:val="single" w:sz="4" w:space="0" w:color="auto"/>
              <w:bottom w:val="single" w:sz="4" w:space="0" w:color="auto"/>
            </w:tcBorders>
          </w:tcPr>
          <w:p w14:paraId="50D3AD4B" w14:textId="77777777" w:rsidR="00D83B8A" w:rsidRDefault="00D83B8A">
            <w:pPr>
              <w:pStyle w:val="TableColumnhead"/>
            </w:pPr>
            <w:r>
              <w:t>Timing</w:t>
            </w:r>
          </w:p>
        </w:tc>
        <w:tc>
          <w:tcPr>
            <w:tcW w:w="1200" w:type="dxa"/>
            <w:tcBorders>
              <w:top w:val="single" w:sz="4" w:space="0" w:color="auto"/>
              <w:bottom w:val="single" w:sz="4" w:space="0" w:color="auto"/>
            </w:tcBorders>
          </w:tcPr>
          <w:p w14:paraId="63ABF361"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56A4C7F9" w14:textId="77777777" w:rsidR="00D83B8A" w:rsidRDefault="00D83B8A">
            <w:pPr>
              <w:pStyle w:val="TableColumnhead"/>
            </w:pPr>
            <w:r>
              <w:t>Speed</w:t>
            </w:r>
          </w:p>
        </w:tc>
      </w:tr>
      <w:tr w:rsidR="00D83B8A" w14:paraId="5DE9A525" w14:textId="77777777">
        <w:tc>
          <w:tcPr>
            <w:tcW w:w="740" w:type="dxa"/>
            <w:tcBorders>
              <w:top w:val="single" w:sz="4" w:space="0" w:color="auto"/>
            </w:tcBorders>
          </w:tcPr>
          <w:p w14:paraId="1759E4F4" w14:textId="77777777" w:rsidR="00D83B8A" w:rsidRDefault="00D83B8A">
            <w:pPr>
              <w:pStyle w:val="Tablebodyfirst"/>
            </w:pPr>
            <w:r>
              <w:t xml:space="preserve">  1</w:t>
            </w:r>
          </w:p>
        </w:tc>
        <w:tc>
          <w:tcPr>
            <w:tcW w:w="1704" w:type="dxa"/>
            <w:tcBorders>
              <w:top w:val="single" w:sz="4" w:space="0" w:color="auto"/>
            </w:tcBorders>
          </w:tcPr>
          <w:p w14:paraId="6EB12EE4" w14:textId="77777777" w:rsidR="00D83B8A" w:rsidRDefault="00D83B8A">
            <w:pPr>
              <w:pStyle w:val="Tablebodyfirst"/>
            </w:pPr>
            <w:r>
              <w:t>S219.20(100%)</w:t>
            </w:r>
          </w:p>
        </w:tc>
        <w:tc>
          <w:tcPr>
            <w:tcW w:w="816" w:type="dxa"/>
            <w:tcBorders>
              <w:top w:val="single" w:sz="4" w:space="0" w:color="auto"/>
            </w:tcBorders>
          </w:tcPr>
          <w:p w14:paraId="1E60E142" w14:textId="77777777" w:rsidR="00D83B8A" w:rsidRDefault="00D83B8A">
            <w:pPr>
              <w:pStyle w:val="Tablebodyfirst"/>
            </w:pPr>
            <w:r>
              <w:t>68m43s</w:t>
            </w:r>
          </w:p>
        </w:tc>
        <w:tc>
          <w:tcPr>
            <w:tcW w:w="1200" w:type="dxa"/>
            <w:tcBorders>
              <w:top w:val="single" w:sz="4" w:space="0" w:color="auto"/>
            </w:tcBorders>
          </w:tcPr>
          <w:p w14:paraId="05AE6158" w14:textId="77777777" w:rsidR="00D83B8A" w:rsidRDefault="00D83B8A">
            <w:pPr>
              <w:pStyle w:val="Tablebodyfirst"/>
            </w:pPr>
            <w:r>
              <w:t>1.00</w:t>
            </w:r>
          </w:p>
        </w:tc>
        <w:tc>
          <w:tcPr>
            <w:tcW w:w="416" w:type="dxa"/>
            <w:tcBorders>
              <w:top w:val="single" w:sz="4" w:space="0" w:color="auto"/>
            </w:tcBorders>
          </w:tcPr>
          <w:p w14:paraId="0DD92192" w14:textId="77777777" w:rsidR="00D83B8A" w:rsidRDefault="00D83B8A">
            <w:pPr>
              <w:pStyle w:val="Tablebodyfirst"/>
            </w:pPr>
            <w:r>
              <w:t>1.00</w:t>
            </w:r>
          </w:p>
        </w:tc>
      </w:tr>
      <w:tr w:rsidR="00D83B8A" w14:paraId="5EAE269A" w14:textId="77777777" w:rsidTr="009E74BF">
        <w:trPr>
          <w:trHeight w:val="218"/>
        </w:trPr>
        <w:tc>
          <w:tcPr>
            <w:tcW w:w="740" w:type="dxa"/>
          </w:tcPr>
          <w:p w14:paraId="677164BD" w14:textId="77777777" w:rsidR="00D83B8A" w:rsidRDefault="00D83B8A">
            <w:pPr>
              <w:pStyle w:val="Tablebody"/>
            </w:pPr>
            <w:r>
              <w:t xml:space="preserve">  2</w:t>
            </w:r>
          </w:p>
        </w:tc>
        <w:tc>
          <w:tcPr>
            <w:tcW w:w="1704" w:type="dxa"/>
          </w:tcPr>
          <w:p w14:paraId="0432A0DF"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2552484E" w14:textId="77777777" w:rsidR="00D83B8A" w:rsidRDefault="00D83B8A">
            <w:pPr>
              <w:pStyle w:val="Tablebody"/>
            </w:pPr>
            <w:r>
              <w:t>35m13s</w:t>
            </w:r>
          </w:p>
        </w:tc>
        <w:tc>
          <w:tcPr>
            <w:tcW w:w="1200" w:type="dxa"/>
          </w:tcPr>
          <w:p w14:paraId="60ACA223" w14:textId="77777777" w:rsidR="00D83B8A" w:rsidRDefault="00D83B8A">
            <w:pPr>
              <w:pStyle w:val="Tablebody"/>
            </w:pPr>
            <w:r>
              <w:t>2.00</w:t>
            </w:r>
          </w:p>
        </w:tc>
        <w:tc>
          <w:tcPr>
            <w:tcW w:w="416" w:type="dxa"/>
          </w:tcPr>
          <w:p w14:paraId="59D515B2" w14:textId="77777777" w:rsidR="00D83B8A" w:rsidRDefault="00D83B8A">
            <w:pPr>
              <w:pStyle w:val="Tablebody"/>
            </w:pPr>
            <w:r>
              <w:t>1.95</w:t>
            </w:r>
          </w:p>
        </w:tc>
      </w:tr>
      <w:tr w:rsidR="00D83B8A" w14:paraId="77F9B223" w14:textId="77777777">
        <w:tc>
          <w:tcPr>
            <w:tcW w:w="740" w:type="dxa"/>
          </w:tcPr>
          <w:p w14:paraId="5A0BD316" w14:textId="77777777" w:rsidR="00D83B8A" w:rsidRDefault="00D83B8A">
            <w:pPr>
              <w:pStyle w:val="Tablebody"/>
            </w:pPr>
            <w:r>
              <w:t xml:space="preserve">  4</w:t>
            </w:r>
          </w:p>
        </w:tc>
        <w:tc>
          <w:tcPr>
            <w:tcW w:w="1704" w:type="dxa"/>
          </w:tcPr>
          <w:p w14:paraId="12ADD779" w14:textId="77777777" w:rsidR="00D83B8A" w:rsidRDefault="00D83B8A">
            <w:pPr>
              <w:pStyle w:val="Tablebody"/>
            </w:pPr>
            <w:r>
              <w:t>2</w:t>
            </w:r>
            <w:r>
              <w:rPr>
                <w:vertAlign w:val="superscript"/>
              </w:rPr>
              <w:t>19</w:t>
            </w:r>
            <w:r>
              <w:t>.20(100%)</w:t>
            </w:r>
          </w:p>
        </w:tc>
        <w:tc>
          <w:tcPr>
            <w:tcW w:w="816" w:type="dxa"/>
          </w:tcPr>
          <w:p w14:paraId="323006B0" w14:textId="77777777" w:rsidR="00D83B8A" w:rsidRDefault="00D83B8A">
            <w:pPr>
              <w:pStyle w:val="Tablebody"/>
            </w:pPr>
            <w:r>
              <w:t>68m43s</w:t>
            </w:r>
          </w:p>
        </w:tc>
        <w:tc>
          <w:tcPr>
            <w:tcW w:w="1200" w:type="dxa"/>
          </w:tcPr>
          <w:p w14:paraId="777D5D95" w14:textId="77777777" w:rsidR="00D83B8A" w:rsidRDefault="00D83B8A">
            <w:pPr>
              <w:pStyle w:val="Tablebody"/>
            </w:pPr>
            <w:r>
              <w:t>1.00</w:t>
            </w:r>
          </w:p>
        </w:tc>
        <w:tc>
          <w:tcPr>
            <w:tcW w:w="416" w:type="dxa"/>
          </w:tcPr>
          <w:p w14:paraId="1F7C208E" w14:textId="77777777" w:rsidR="00D83B8A" w:rsidRDefault="00D83B8A">
            <w:pPr>
              <w:pStyle w:val="Tablebody"/>
            </w:pPr>
            <w:r>
              <w:t>1.00</w:t>
            </w:r>
          </w:p>
        </w:tc>
      </w:tr>
      <w:tr w:rsidR="00D83B8A" w14:paraId="7F45DEE6" w14:textId="77777777">
        <w:tc>
          <w:tcPr>
            <w:tcW w:w="740" w:type="dxa"/>
          </w:tcPr>
          <w:p w14:paraId="4133DEA7" w14:textId="77777777" w:rsidR="00D83B8A" w:rsidRDefault="00D83B8A">
            <w:pPr>
              <w:pStyle w:val="Tablebody"/>
            </w:pPr>
            <w:r>
              <w:t>10</w:t>
            </w:r>
          </w:p>
        </w:tc>
        <w:tc>
          <w:tcPr>
            <w:tcW w:w="1704" w:type="dxa"/>
          </w:tcPr>
          <w:p w14:paraId="7DF182E8"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3538011B" w14:textId="77777777" w:rsidR="00D83B8A" w:rsidRDefault="00D83B8A">
            <w:pPr>
              <w:pStyle w:val="Tablebody"/>
            </w:pPr>
            <w:r>
              <w:t>35m13s</w:t>
            </w:r>
          </w:p>
        </w:tc>
        <w:tc>
          <w:tcPr>
            <w:tcW w:w="1200" w:type="dxa"/>
          </w:tcPr>
          <w:p w14:paraId="408F4858" w14:textId="77777777" w:rsidR="00D83B8A" w:rsidRDefault="00D83B8A">
            <w:pPr>
              <w:pStyle w:val="Tablebody"/>
            </w:pPr>
            <w:r>
              <w:t>2.00</w:t>
            </w:r>
          </w:p>
        </w:tc>
        <w:tc>
          <w:tcPr>
            <w:tcW w:w="416" w:type="dxa"/>
          </w:tcPr>
          <w:p w14:paraId="53D72226" w14:textId="77777777" w:rsidR="00D83B8A" w:rsidRDefault="00D83B8A">
            <w:pPr>
              <w:pStyle w:val="Tablebody"/>
            </w:pPr>
            <w:r>
              <w:t>1.95</w:t>
            </w:r>
          </w:p>
        </w:tc>
      </w:tr>
      <w:tr w:rsidR="00D83B8A" w14:paraId="69A9F775" w14:textId="77777777">
        <w:tc>
          <w:tcPr>
            <w:tcW w:w="740" w:type="dxa"/>
            <w:tcBorders>
              <w:bottom w:val="single" w:sz="4" w:space="0" w:color="auto"/>
            </w:tcBorders>
          </w:tcPr>
          <w:p w14:paraId="36850841" w14:textId="77777777" w:rsidR="00D83B8A" w:rsidRDefault="00D83B8A">
            <w:pPr>
              <w:pStyle w:val="Tablebodylast"/>
            </w:pPr>
            <w:r>
              <w:t>20</w:t>
            </w:r>
          </w:p>
        </w:tc>
        <w:tc>
          <w:tcPr>
            <w:tcW w:w="1704" w:type="dxa"/>
            <w:tcBorders>
              <w:bottom w:val="single" w:sz="4" w:space="0" w:color="auto"/>
            </w:tcBorders>
          </w:tcPr>
          <w:p w14:paraId="289A7244"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481E6D93" w14:textId="77777777" w:rsidR="00D83B8A" w:rsidRDefault="00D83B8A">
            <w:pPr>
              <w:pStyle w:val="Tablebodylast"/>
            </w:pPr>
            <w:r>
              <w:t>68m43s</w:t>
            </w:r>
          </w:p>
        </w:tc>
        <w:tc>
          <w:tcPr>
            <w:tcW w:w="1200" w:type="dxa"/>
            <w:tcBorders>
              <w:bottom w:val="single" w:sz="4" w:space="0" w:color="auto"/>
            </w:tcBorders>
          </w:tcPr>
          <w:p w14:paraId="525E7632" w14:textId="77777777" w:rsidR="00D83B8A" w:rsidRDefault="00D83B8A">
            <w:pPr>
              <w:pStyle w:val="Tablebodylast"/>
            </w:pPr>
            <w:r>
              <w:t>1.00</w:t>
            </w:r>
          </w:p>
        </w:tc>
        <w:tc>
          <w:tcPr>
            <w:tcW w:w="416" w:type="dxa"/>
            <w:tcBorders>
              <w:bottom w:val="single" w:sz="4" w:space="0" w:color="auto"/>
            </w:tcBorders>
          </w:tcPr>
          <w:p w14:paraId="0CE9352F" w14:textId="77777777" w:rsidR="00D83B8A" w:rsidRDefault="00D83B8A">
            <w:pPr>
              <w:pStyle w:val="Tablebodylast"/>
            </w:pPr>
            <w:r>
              <w:t>9.5</w:t>
            </w:r>
          </w:p>
        </w:tc>
      </w:tr>
    </w:tbl>
    <w:p w14:paraId="388723DD" w14:textId="77777777" w:rsidR="00D83B8A" w:rsidRDefault="00D83B8A">
      <w:pPr>
        <w:pStyle w:val="Tablefootnote"/>
        <w:spacing w:after="140"/>
      </w:pPr>
      <w:r>
        <w:t>This is table foot note sample text This is table foot note sample text This is table foot note sample text</w:t>
      </w:r>
    </w:p>
    <w:p w14:paraId="33779F64" w14:textId="77777777"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w:t>
      </w:r>
    </w:p>
    <w:p w14:paraId="0F2A8B75" w14:textId="77777777" w:rsidR="001A5509" w:rsidRDefault="00643190" w:rsidP="001A0125">
      <w:pPr>
        <w:pStyle w:val="AckHead"/>
      </w:pPr>
      <w:r>
        <w:t>A</w:t>
      </w:r>
      <w:r w:rsidR="001A5509">
        <w:t>cknowledgements</w:t>
      </w:r>
    </w:p>
    <w:p w14:paraId="6E34CFF5" w14:textId="77777777"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7B1ADCA4" w14:textId="77777777" w:rsidR="00366351" w:rsidRPr="00366351" w:rsidRDefault="00CD55D8" w:rsidP="001A0125">
      <w:pPr>
        <w:pStyle w:val="RefHead"/>
        <w:rPr>
          <w:caps/>
        </w:rPr>
      </w:pPr>
      <w:r w:rsidRPr="00366351">
        <w:t>Funding</w:t>
      </w:r>
    </w:p>
    <w:p w14:paraId="508F7C7C" w14:textId="77777777"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14:paraId="2BA77318" w14:textId="77777777" w:rsidR="005806E7" w:rsidRDefault="005806E7" w:rsidP="00CD55D8">
      <w:pPr>
        <w:pStyle w:val="AckText"/>
        <w:rPr>
          <w:rFonts w:ascii="AdvPSSAB-R" w:hAnsi="AdvPSSAB-R" w:cs="AdvPSSAB-R"/>
          <w:sz w:val="14"/>
          <w:szCs w:val="14"/>
          <w:lang w:val="en-GB" w:eastAsia="en-IN"/>
        </w:rPr>
      </w:pPr>
    </w:p>
    <w:p w14:paraId="51F73596"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13CF9B7A" w14:textId="77777777" w:rsidR="00D83B8A" w:rsidRPr="00366351" w:rsidRDefault="00366351" w:rsidP="001A0125">
      <w:pPr>
        <w:pStyle w:val="RefHead"/>
      </w:pPr>
      <w:r w:rsidRPr="00366351">
        <w:t>References</w:t>
      </w:r>
    </w:p>
    <w:p w14:paraId="0884261E" w14:textId="68E5CF02" w:rsidR="00416E1E" w:rsidRPr="00416E1E" w:rsidRDefault="00655982" w:rsidP="00416E1E">
      <w:pPr>
        <w:widowControl w:val="0"/>
        <w:autoSpaceDE w:val="0"/>
        <w:autoSpaceDN w:val="0"/>
        <w:adjustRightInd w:val="0"/>
        <w:ind w:left="480" w:hanging="480"/>
        <w:rPr>
          <w:rFonts w:ascii="Times New Roman" w:hAnsi="Times New Roman"/>
          <w:noProof/>
          <w:sz w:val="14"/>
        </w:rPr>
      </w:pPr>
      <w:r>
        <w:rPr>
          <w:szCs w:val="14"/>
        </w:rPr>
        <w:fldChar w:fldCharType="begin" w:fldLock="1"/>
      </w:r>
      <w:r>
        <w:rPr>
          <w:szCs w:val="14"/>
        </w:rPr>
        <w:instrText xml:space="preserve">ADDIN Mendeley Bibliography CSL_BIBLIOGRAPHY </w:instrText>
      </w:r>
      <w:r>
        <w:rPr>
          <w:szCs w:val="14"/>
        </w:rPr>
        <w:fldChar w:fldCharType="separate"/>
      </w:r>
      <w:r w:rsidR="00416E1E" w:rsidRPr="00416E1E">
        <w:rPr>
          <w:rFonts w:ascii="Times New Roman" w:hAnsi="Times New Roman"/>
          <w:noProof/>
          <w:sz w:val="14"/>
        </w:rPr>
        <w:t xml:space="preserve">Bankevich,A. </w:t>
      </w:r>
      <w:r w:rsidR="00416E1E" w:rsidRPr="00416E1E">
        <w:rPr>
          <w:rFonts w:ascii="Times New Roman" w:hAnsi="Times New Roman"/>
          <w:i/>
          <w:iCs/>
          <w:noProof/>
          <w:sz w:val="14"/>
        </w:rPr>
        <w:t>et al.</w:t>
      </w:r>
      <w:r w:rsidR="00416E1E" w:rsidRPr="00416E1E">
        <w:rPr>
          <w:rFonts w:ascii="Times New Roman" w:hAnsi="Times New Roman"/>
          <w:noProof/>
          <w:sz w:val="14"/>
        </w:rPr>
        <w:t xml:space="preserve"> (2012) SPAdes: A New Genome Assembly Algorithm and Its </w:t>
      </w:r>
      <w:r w:rsidR="00416E1E" w:rsidRPr="00416E1E">
        <w:rPr>
          <w:rFonts w:ascii="Times New Roman" w:hAnsi="Times New Roman"/>
          <w:noProof/>
          <w:sz w:val="14"/>
        </w:rPr>
        <w:lastRenderedPageBreak/>
        <w:t xml:space="preserve">Applications to Single-Cell Sequencing. </w:t>
      </w:r>
      <w:r w:rsidR="00416E1E" w:rsidRPr="00416E1E">
        <w:rPr>
          <w:rFonts w:ascii="Times New Roman" w:hAnsi="Times New Roman"/>
          <w:i/>
          <w:iCs/>
          <w:noProof/>
          <w:sz w:val="14"/>
        </w:rPr>
        <w:t>J. Comput. Biol.</w:t>
      </w:r>
      <w:r w:rsidR="00416E1E" w:rsidRPr="00416E1E">
        <w:rPr>
          <w:rFonts w:ascii="Times New Roman" w:hAnsi="Times New Roman"/>
          <w:noProof/>
          <w:sz w:val="14"/>
        </w:rPr>
        <w:t xml:space="preserve">, </w:t>
      </w:r>
      <w:r w:rsidR="00416E1E" w:rsidRPr="00416E1E">
        <w:rPr>
          <w:rFonts w:ascii="Times New Roman" w:hAnsi="Times New Roman"/>
          <w:b/>
          <w:bCs/>
          <w:noProof/>
          <w:sz w:val="14"/>
        </w:rPr>
        <w:t>19</w:t>
      </w:r>
      <w:r w:rsidR="00416E1E" w:rsidRPr="00416E1E">
        <w:rPr>
          <w:rFonts w:ascii="Times New Roman" w:hAnsi="Times New Roman"/>
          <w:noProof/>
          <w:sz w:val="14"/>
        </w:rPr>
        <w:t>, 455–477.</w:t>
      </w:r>
    </w:p>
    <w:p w14:paraId="50B6F6F8" w14:textId="77777777" w:rsidR="00416E1E" w:rsidRPr="00416E1E" w:rsidRDefault="00416E1E" w:rsidP="00416E1E">
      <w:pPr>
        <w:widowControl w:val="0"/>
        <w:autoSpaceDE w:val="0"/>
        <w:autoSpaceDN w:val="0"/>
        <w:adjustRightInd w:val="0"/>
        <w:ind w:left="480" w:hanging="480"/>
        <w:rPr>
          <w:rFonts w:ascii="Times New Roman" w:hAnsi="Times New Roman"/>
          <w:noProof/>
          <w:sz w:val="14"/>
        </w:rPr>
      </w:pPr>
      <w:r w:rsidRPr="00416E1E">
        <w:rPr>
          <w:rFonts w:ascii="Times New Roman" w:hAnsi="Times New Roman"/>
          <w:noProof/>
          <w:sz w:val="14"/>
        </w:rPr>
        <w:t xml:space="preserve">Gurevich,A. </w:t>
      </w:r>
      <w:r w:rsidRPr="00416E1E">
        <w:rPr>
          <w:rFonts w:ascii="Times New Roman" w:hAnsi="Times New Roman"/>
          <w:i/>
          <w:iCs/>
          <w:noProof/>
          <w:sz w:val="14"/>
        </w:rPr>
        <w:t>et al.</w:t>
      </w:r>
      <w:r w:rsidRPr="00416E1E">
        <w:rPr>
          <w:rFonts w:ascii="Times New Roman" w:hAnsi="Times New Roman"/>
          <w:noProof/>
          <w:sz w:val="14"/>
        </w:rPr>
        <w:t xml:space="preserve"> (2013) QUAST: quality assessment tool for genome assemblies. </w:t>
      </w:r>
      <w:r w:rsidRPr="00416E1E">
        <w:rPr>
          <w:rFonts w:ascii="Times New Roman" w:hAnsi="Times New Roman"/>
          <w:i/>
          <w:iCs/>
          <w:noProof/>
          <w:sz w:val="14"/>
        </w:rPr>
        <w:t xml:space="preserve">Bioinforma. </w:t>
      </w:r>
      <w:r w:rsidRPr="00416E1E">
        <w:rPr>
          <w:rFonts w:ascii="Times New Roman" w:hAnsi="Times New Roman"/>
          <w:noProof/>
          <w:sz w:val="14"/>
        </w:rPr>
        <w:t xml:space="preserve">, </w:t>
      </w:r>
      <w:r w:rsidRPr="00416E1E">
        <w:rPr>
          <w:rFonts w:ascii="Times New Roman" w:hAnsi="Times New Roman"/>
          <w:b/>
          <w:bCs/>
          <w:noProof/>
          <w:sz w:val="14"/>
        </w:rPr>
        <w:t>29</w:t>
      </w:r>
      <w:r w:rsidRPr="00416E1E">
        <w:rPr>
          <w:rFonts w:ascii="Times New Roman" w:hAnsi="Times New Roman"/>
          <w:noProof/>
          <w:sz w:val="14"/>
        </w:rPr>
        <w:t>, 1072–1075.</w:t>
      </w:r>
    </w:p>
    <w:p w14:paraId="162D74C8" w14:textId="77777777" w:rsidR="00416E1E" w:rsidRPr="00416E1E" w:rsidRDefault="00416E1E" w:rsidP="00416E1E">
      <w:pPr>
        <w:widowControl w:val="0"/>
        <w:autoSpaceDE w:val="0"/>
        <w:autoSpaceDN w:val="0"/>
        <w:adjustRightInd w:val="0"/>
        <w:ind w:left="480" w:hanging="480"/>
        <w:rPr>
          <w:rFonts w:ascii="Times New Roman" w:hAnsi="Times New Roman"/>
          <w:noProof/>
          <w:sz w:val="14"/>
        </w:rPr>
      </w:pPr>
      <w:r w:rsidRPr="00416E1E">
        <w:rPr>
          <w:rFonts w:ascii="Times New Roman" w:hAnsi="Times New Roman"/>
          <w:noProof/>
          <w:sz w:val="14"/>
        </w:rPr>
        <w:t xml:space="preserve">Li,D. </w:t>
      </w:r>
      <w:r w:rsidRPr="00416E1E">
        <w:rPr>
          <w:rFonts w:ascii="Times New Roman" w:hAnsi="Times New Roman"/>
          <w:i/>
          <w:iCs/>
          <w:noProof/>
          <w:sz w:val="14"/>
        </w:rPr>
        <w:t>et al.</w:t>
      </w:r>
      <w:r w:rsidRPr="00416E1E">
        <w:rPr>
          <w:rFonts w:ascii="Times New Roman" w:hAnsi="Times New Roman"/>
          <w:noProof/>
          <w:sz w:val="14"/>
        </w:rPr>
        <w:t xml:space="preserve"> (2015) MEGAHIT: an ultra-fast single-node solution for large and complex metagenomics assembly via succinct de Bruijn graph. </w:t>
      </w:r>
      <w:r w:rsidRPr="00416E1E">
        <w:rPr>
          <w:rFonts w:ascii="Times New Roman" w:hAnsi="Times New Roman"/>
          <w:i/>
          <w:iCs/>
          <w:noProof/>
          <w:sz w:val="14"/>
        </w:rPr>
        <w:t xml:space="preserve">Bioinforma. </w:t>
      </w:r>
      <w:r w:rsidRPr="00416E1E">
        <w:rPr>
          <w:rFonts w:ascii="Times New Roman" w:hAnsi="Times New Roman"/>
          <w:noProof/>
          <w:sz w:val="14"/>
        </w:rPr>
        <w:t xml:space="preserve">, </w:t>
      </w:r>
      <w:r w:rsidRPr="00416E1E">
        <w:rPr>
          <w:rFonts w:ascii="Times New Roman" w:hAnsi="Times New Roman"/>
          <w:b/>
          <w:bCs/>
          <w:noProof/>
          <w:sz w:val="14"/>
        </w:rPr>
        <w:t>31</w:t>
      </w:r>
      <w:r w:rsidRPr="00416E1E">
        <w:rPr>
          <w:rFonts w:ascii="Times New Roman" w:hAnsi="Times New Roman"/>
          <w:noProof/>
          <w:sz w:val="14"/>
        </w:rPr>
        <w:t>, 1674–1676.</w:t>
      </w:r>
    </w:p>
    <w:p w14:paraId="0A3084B5" w14:textId="7625D9FF" w:rsidR="00B7282B" w:rsidRDefault="00655982" w:rsidP="00416E1E">
      <w:pPr>
        <w:widowControl w:val="0"/>
        <w:autoSpaceDE w:val="0"/>
        <w:autoSpaceDN w:val="0"/>
        <w:adjustRightInd w:val="0"/>
        <w:ind w:left="480" w:hanging="480"/>
      </w:pPr>
      <w:r>
        <w:rPr>
          <w:szCs w:val="14"/>
        </w:rPr>
        <w:fldChar w:fldCharType="end"/>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BA384" w14:textId="77777777" w:rsidR="009D7501" w:rsidRDefault="009D7501">
      <w:r>
        <w:separator/>
      </w:r>
    </w:p>
  </w:endnote>
  <w:endnote w:type="continuationSeparator" w:id="0">
    <w:p w14:paraId="14D90745" w14:textId="77777777" w:rsidR="009D7501" w:rsidRDefault="009D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FD896" w14:textId="77777777" w:rsidR="009D7501" w:rsidRDefault="009D7501">
      <w:pPr>
        <w:pStyle w:val="Footer"/>
        <w:tabs>
          <w:tab w:val="clear" w:pos="4320"/>
          <w:tab w:val="left" w:pos="4860"/>
        </w:tabs>
        <w:spacing w:line="200" w:lineRule="exact"/>
        <w:rPr>
          <w:u w:val="single" w:color="000000"/>
        </w:rPr>
      </w:pPr>
      <w:r>
        <w:rPr>
          <w:u w:val="single" w:color="000000"/>
        </w:rPr>
        <w:tab/>
      </w:r>
    </w:p>
  </w:footnote>
  <w:footnote w:type="continuationSeparator" w:id="0">
    <w:p w14:paraId="51F82AF5" w14:textId="77777777" w:rsidR="009D7501" w:rsidRDefault="009D7501">
      <w:pPr>
        <w:pStyle w:val="FootnoteText"/>
        <w:rPr>
          <w:szCs w:val="24"/>
        </w:rPr>
      </w:pPr>
      <w:r>
        <w:continuationSeparator/>
      </w:r>
    </w:p>
  </w:footnote>
  <w:footnote w:type="continuationNotice" w:id="1">
    <w:p w14:paraId="3F2D485E" w14:textId="77777777" w:rsidR="009D7501" w:rsidRDefault="009D7501">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E1B50" w14:textId="3463FF11" w:rsidR="0090585F" w:rsidRDefault="0090585F">
    <w:pPr>
      <w:pStyle w:val="Header"/>
      <w:spacing w:after="0"/>
    </w:pPr>
    <w:r>
      <w:rPr>
        <w:noProof/>
      </w:rPr>
      <mc:AlternateContent>
        <mc:Choice Requires="wps">
          <w:drawing>
            <wp:anchor distT="0" distB="0" distL="114300" distR="114300" simplePos="0" relativeHeight="251660288" behindDoc="0" locked="1" layoutInCell="1" allowOverlap="0" wp14:anchorId="2C4AAD8C" wp14:editId="493293FC">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9EC13"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proofErr w:type="spellStart"/>
    <w:proofErr w:type="gramStart"/>
    <w:r>
      <w:t>K.Takahashi</w:t>
    </w:r>
    <w:proofErr w:type="spellEnd"/>
    <w:proofErr w:type="gramEnd"/>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715FD" w14:textId="77777777" w:rsidR="0090585F" w:rsidRPr="008E5030" w:rsidRDefault="0090585F"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F42CF6DA"/>
    <w:lvl w:ilvl="0" w:tplc="B686A1A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1C4FB3"/>
    <w:multiLevelType w:val="hybridMultilevel"/>
    <w:tmpl w:val="8CFA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36CE9"/>
    <w:multiLevelType w:val="multilevel"/>
    <w:tmpl w:val="6C2E80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6D48F8"/>
    <w:multiLevelType w:val="multilevel"/>
    <w:tmpl w:val="6C2E80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0"/>
  </w:num>
  <w:num w:numId="3">
    <w:abstractNumId w:val="5"/>
  </w:num>
  <w:num w:numId="4">
    <w:abstractNumId w:val="4"/>
  </w:num>
  <w:num w:numId="5">
    <w:abstractNumId w:val="9"/>
  </w:num>
  <w:num w:numId="6">
    <w:abstractNumId w:val="9"/>
  </w:num>
  <w:num w:numId="7">
    <w:abstractNumId w:val="9"/>
  </w:num>
  <w:num w:numId="8">
    <w:abstractNumId w:val="13"/>
  </w:num>
  <w:num w:numId="9">
    <w:abstractNumId w:val="7"/>
  </w:num>
  <w:num w:numId="10">
    <w:abstractNumId w:val="11"/>
  </w:num>
  <w:num w:numId="11">
    <w:abstractNumId w:val="12"/>
  </w:num>
  <w:num w:numId="12">
    <w:abstractNumId w:val="3"/>
  </w:num>
  <w:num w:numId="13">
    <w:abstractNumId w:val="0"/>
  </w:num>
  <w:num w:numId="14">
    <w:abstractNumId w:val="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33"/>
    <w:rsid w:val="0001213C"/>
    <w:rsid w:val="00050B51"/>
    <w:rsid w:val="00063765"/>
    <w:rsid w:val="00083970"/>
    <w:rsid w:val="000E1E88"/>
    <w:rsid w:val="000E7919"/>
    <w:rsid w:val="00106E0A"/>
    <w:rsid w:val="00112539"/>
    <w:rsid w:val="00120FBC"/>
    <w:rsid w:val="00146581"/>
    <w:rsid w:val="00163472"/>
    <w:rsid w:val="00164CC5"/>
    <w:rsid w:val="00175E68"/>
    <w:rsid w:val="001867E6"/>
    <w:rsid w:val="0019362B"/>
    <w:rsid w:val="001976C9"/>
    <w:rsid w:val="001A0125"/>
    <w:rsid w:val="001A5509"/>
    <w:rsid w:val="001C6AEE"/>
    <w:rsid w:val="001D0164"/>
    <w:rsid w:val="001E3D57"/>
    <w:rsid w:val="002000FF"/>
    <w:rsid w:val="00251E6C"/>
    <w:rsid w:val="00274D6E"/>
    <w:rsid w:val="0028467B"/>
    <w:rsid w:val="002A0C48"/>
    <w:rsid w:val="002A2089"/>
    <w:rsid w:val="002A7209"/>
    <w:rsid w:val="002B75A3"/>
    <w:rsid w:val="002B75B0"/>
    <w:rsid w:val="002C783E"/>
    <w:rsid w:val="002D3B6B"/>
    <w:rsid w:val="002D5837"/>
    <w:rsid w:val="002D7AA3"/>
    <w:rsid w:val="002F3779"/>
    <w:rsid w:val="002F4CA8"/>
    <w:rsid w:val="00341B9C"/>
    <w:rsid w:val="0034204F"/>
    <w:rsid w:val="00352804"/>
    <w:rsid w:val="00366351"/>
    <w:rsid w:val="00386DA0"/>
    <w:rsid w:val="003A4127"/>
    <w:rsid w:val="003A4458"/>
    <w:rsid w:val="003B3D09"/>
    <w:rsid w:val="003F0E1C"/>
    <w:rsid w:val="00400927"/>
    <w:rsid w:val="00400C63"/>
    <w:rsid w:val="00403998"/>
    <w:rsid w:val="00405022"/>
    <w:rsid w:val="00416E1E"/>
    <w:rsid w:val="00417E33"/>
    <w:rsid w:val="00423247"/>
    <w:rsid w:val="00435193"/>
    <w:rsid w:val="0044031B"/>
    <w:rsid w:val="00452614"/>
    <w:rsid w:val="00454567"/>
    <w:rsid w:val="00473EDA"/>
    <w:rsid w:val="004768E7"/>
    <w:rsid w:val="004834F2"/>
    <w:rsid w:val="00486E58"/>
    <w:rsid w:val="004A70D1"/>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44"/>
    <w:rsid w:val="00643190"/>
    <w:rsid w:val="00655982"/>
    <w:rsid w:val="00661165"/>
    <w:rsid w:val="0066588F"/>
    <w:rsid w:val="006921D5"/>
    <w:rsid w:val="006A235A"/>
    <w:rsid w:val="006A2E48"/>
    <w:rsid w:val="006C2C0F"/>
    <w:rsid w:val="006F5A2E"/>
    <w:rsid w:val="00700413"/>
    <w:rsid w:val="0072388D"/>
    <w:rsid w:val="00743C73"/>
    <w:rsid w:val="00776B59"/>
    <w:rsid w:val="00781843"/>
    <w:rsid w:val="00793C1E"/>
    <w:rsid w:val="007A23EF"/>
    <w:rsid w:val="007A402E"/>
    <w:rsid w:val="007F7792"/>
    <w:rsid w:val="00801742"/>
    <w:rsid w:val="00806CED"/>
    <w:rsid w:val="00820FD1"/>
    <w:rsid w:val="00832157"/>
    <w:rsid w:val="00853D6D"/>
    <w:rsid w:val="00887143"/>
    <w:rsid w:val="008A06DC"/>
    <w:rsid w:val="008A13D5"/>
    <w:rsid w:val="008A7380"/>
    <w:rsid w:val="008E5030"/>
    <w:rsid w:val="0090585F"/>
    <w:rsid w:val="00935C57"/>
    <w:rsid w:val="00943558"/>
    <w:rsid w:val="00952599"/>
    <w:rsid w:val="00952934"/>
    <w:rsid w:val="0095359B"/>
    <w:rsid w:val="009A0FE4"/>
    <w:rsid w:val="009A3330"/>
    <w:rsid w:val="009D0B6E"/>
    <w:rsid w:val="009D7501"/>
    <w:rsid w:val="009E74BF"/>
    <w:rsid w:val="009F0BA9"/>
    <w:rsid w:val="00A226FD"/>
    <w:rsid w:val="00A2522A"/>
    <w:rsid w:val="00A41FAE"/>
    <w:rsid w:val="00A5432A"/>
    <w:rsid w:val="00A55800"/>
    <w:rsid w:val="00A663DF"/>
    <w:rsid w:val="00A7074F"/>
    <w:rsid w:val="00A76CB0"/>
    <w:rsid w:val="00A818B3"/>
    <w:rsid w:val="00AB08E4"/>
    <w:rsid w:val="00AD2FB9"/>
    <w:rsid w:val="00B03494"/>
    <w:rsid w:val="00B1157D"/>
    <w:rsid w:val="00B406BB"/>
    <w:rsid w:val="00B637BC"/>
    <w:rsid w:val="00B652DF"/>
    <w:rsid w:val="00B7282B"/>
    <w:rsid w:val="00B972B2"/>
    <w:rsid w:val="00BE5EE2"/>
    <w:rsid w:val="00C16594"/>
    <w:rsid w:val="00C22DEA"/>
    <w:rsid w:val="00C33B0F"/>
    <w:rsid w:val="00C4341F"/>
    <w:rsid w:val="00C81F33"/>
    <w:rsid w:val="00C9407F"/>
    <w:rsid w:val="00CC2C0F"/>
    <w:rsid w:val="00CC64E3"/>
    <w:rsid w:val="00CD1016"/>
    <w:rsid w:val="00CD1067"/>
    <w:rsid w:val="00CD30F5"/>
    <w:rsid w:val="00CD55D8"/>
    <w:rsid w:val="00CD64AE"/>
    <w:rsid w:val="00CF605A"/>
    <w:rsid w:val="00D0301D"/>
    <w:rsid w:val="00D1582A"/>
    <w:rsid w:val="00D57B60"/>
    <w:rsid w:val="00D65C51"/>
    <w:rsid w:val="00D83B8A"/>
    <w:rsid w:val="00DA5C5A"/>
    <w:rsid w:val="00DA7E18"/>
    <w:rsid w:val="00DC2DCC"/>
    <w:rsid w:val="00DC5078"/>
    <w:rsid w:val="00DC5EDA"/>
    <w:rsid w:val="00DD38F7"/>
    <w:rsid w:val="00E678E8"/>
    <w:rsid w:val="00E94E22"/>
    <w:rsid w:val="00E976E6"/>
    <w:rsid w:val="00EC5ED4"/>
    <w:rsid w:val="00EE1FE6"/>
    <w:rsid w:val="00EF1E20"/>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CBD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9E74BF"/>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rsid w:val="00CD64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5755">
      <w:bodyDiv w:val="1"/>
      <w:marLeft w:val="0"/>
      <w:marRight w:val="0"/>
      <w:marTop w:val="0"/>
      <w:marBottom w:val="0"/>
      <w:divBdr>
        <w:top w:val="none" w:sz="0" w:space="0" w:color="auto"/>
        <w:left w:val="none" w:sz="0" w:space="0" w:color="auto"/>
        <w:bottom w:val="none" w:sz="0" w:space="0" w:color="auto"/>
        <w:right w:val="none" w:sz="0" w:space="0" w:color="auto"/>
      </w:divBdr>
    </w:div>
    <w:div w:id="203518673">
      <w:bodyDiv w:val="1"/>
      <w:marLeft w:val="0"/>
      <w:marRight w:val="0"/>
      <w:marTop w:val="0"/>
      <w:marBottom w:val="0"/>
      <w:divBdr>
        <w:top w:val="none" w:sz="0" w:space="0" w:color="auto"/>
        <w:left w:val="none" w:sz="0" w:space="0" w:color="auto"/>
        <w:bottom w:val="none" w:sz="0" w:space="0" w:color="auto"/>
        <w:right w:val="none" w:sz="0" w:space="0" w:color="auto"/>
      </w:divBdr>
    </w:div>
    <w:div w:id="356541246">
      <w:bodyDiv w:val="1"/>
      <w:marLeft w:val="0"/>
      <w:marRight w:val="0"/>
      <w:marTop w:val="0"/>
      <w:marBottom w:val="0"/>
      <w:divBdr>
        <w:top w:val="none" w:sz="0" w:space="0" w:color="auto"/>
        <w:left w:val="none" w:sz="0" w:space="0" w:color="auto"/>
        <w:bottom w:val="none" w:sz="0" w:space="0" w:color="auto"/>
        <w:right w:val="none" w:sz="0" w:space="0" w:color="auto"/>
      </w:divBdr>
    </w:div>
    <w:div w:id="393283145">
      <w:bodyDiv w:val="1"/>
      <w:marLeft w:val="0"/>
      <w:marRight w:val="0"/>
      <w:marTop w:val="0"/>
      <w:marBottom w:val="0"/>
      <w:divBdr>
        <w:top w:val="none" w:sz="0" w:space="0" w:color="auto"/>
        <w:left w:val="none" w:sz="0" w:space="0" w:color="auto"/>
        <w:bottom w:val="none" w:sz="0" w:space="0" w:color="auto"/>
        <w:right w:val="none" w:sz="0" w:space="0" w:color="auto"/>
      </w:divBdr>
    </w:div>
    <w:div w:id="477845860">
      <w:bodyDiv w:val="1"/>
      <w:marLeft w:val="0"/>
      <w:marRight w:val="0"/>
      <w:marTop w:val="0"/>
      <w:marBottom w:val="0"/>
      <w:divBdr>
        <w:top w:val="none" w:sz="0" w:space="0" w:color="auto"/>
        <w:left w:val="none" w:sz="0" w:space="0" w:color="auto"/>
        <w:bottom w:val="none" w:sz="0" w:space="0" w:color="auto"/>
        <w:right w:val="none" w:sz="0" w:space="0" w:color="auto"/>
      </w:divBdr>
    </w:div>
    <w:div w:id="888419071">
      <w:bodyDiv w:val="1"/>
      <w:marLeft w:val="0"/>
      <w:marRight w:val="0"/>
      <w:marTop w:val="0"/>
      <w:marBottom w:val="0"/>
      <w:divBdr>
        <w:top w:val="none" w:sz="0" w:space="0" w:color="auto"/>
        <w:left w:val="none" w:sz="0" w:space="0" w:color="auto"/>
        <w:bottom w:val="none" w:sz="0" w:space="0" w:color="auto"/>
        <w:right w:val="none" w:sz="0" w:space="0" w:color="auto"/>
      </w:divBdr>
    </w:div>
    <w:div w:id="911045570">
      <w:bodyDiv w:val="1"/>
      <w:marLeft w:val="0"/>
      <w:marRight w:val="0"/>
      <w:marTop w:val="0"/>
      <w:marBottom w:val="0"/>
      <w:divBdr>
        <w:top w:val="none" w:sz="0" w:space="0" w:color="auto"/>
        <w:left w:val="none" w:sz="0" w:space="0" w:color="auto"/>
        <w:bottom w:val="none" w:sz="0" w:space="0" w:color="auto"/>
        <w:right w:val="none" w:sz="0" w:space="0" w:color="auto"/>
      </w:divBdr>
    </w:div>
    <w:div w:id="1730835643">
      <w:bodyDiv w:val="1"/>
      <w:marLeft w:val="0"/>
      <w:marRight w:val="0"/>
      <w:marTop w:val="0"/>
      <w:marBottom w:val="0"/>
      <w:divBdr>
        <w:top w:val="none" w:sz="0" w:space="0" w:color="auto"/>
        <w:left w:val="none" w:sz="0" w:space="0" w:color="auto"/>
        <w:bottom w:val="none" w:sz="0" w:space="0" w:color="auto"/>
        <w:right w:val="none" w:sz="0" w:space="0" w:color="auto"/>
      </w:divBdr>
    </w:div>
    <w:div w:id="194395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ioinformatics.oxfordjournals.org/content/30/19/2717.long" TargetMode="External"/><Relationship Id="rId11" Type="http://schemas.openxmlformats.org/officeDocument/2006/relationships/hyperlink" Target="http://bioinformatics.oxfordjournals.org/content/30/19/2717.long" TargetMode="External"/><Relationship Id="rId12" Type="http://schemas.openxmlformats.org/officeDocument/2006/relationships/image" Target="media/image1.jpeg"/><Relationship Id="rId13" Type="http://schemas.openxmlformats.org/officeDocument/2006/relationships/hyperlink" Target="http://bioinformatics.oxfordjournals.org/content/30/19/2717.long" TargetMode="External"/><Relationship Id="rId14" Type="http://schemas.openxmlformats.org/officeDocument/2006/relationships/hyperlink" Target="http://bioinformatics.oxfordjournals.org/content/30/19/2717.long" TargetMode="External"/><Relationship Id="rId15" Type="http://schemas.openxmlformats.org/officeDocument/2006/relationships/hyperlink" Target="http://bioinformatics.oxfordjournals.org/content/30/19/2717.long" TargetMode="External"/><Relationship Id="rId16" Type="http://schemas.openxmlformats.org/officeDocument/2006/relationships/image" Target="media/image2.jpeg"/><Relationship Id="rId17" Type="http://schemas.openxmlformats.org/officeDocument/2006/relationships/image" Target="media/image3.tiff"/><Relationship Id="rId18" Type="http://schemas.openxmlformats.org/officeDocument/2006/relationships/image" Target="media/image4.w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biswas/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5477B8-9EC2-1948-B639-A929CBFF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367</TotalTime>
  <Pages>7</Pages>
  <Words>5945</Words>
  <Characters>33893</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Microsoft Office User</cp:lastModifiedBy>
  <cp:revision>13</cp:revision>
  <cp:lastPrinted>2007-07-04T12:14:00Z</cp:lastPrinted>
  <dcterms:created xsi:type="dcterms:W3CDTF">2016-09-01T17:03:00Z</dcterms:created>
  <dcterms:modified xsi:type="dcterms:W3CDTF">2016-09-06T22:10:00Z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nique User Id_1">
    <vt:lpwstr>f4aa198a-7caa-3e4e-a3eb-d925c9820b80</vt:lpwstr>
  </property>
  <property fmtid="{D5CDD505-2E9C-101B-9397-08002B2CF9AE}" pid="11" name="Mendeley Citation Style_1">
    <vt:lpwstr>http://www.zotero.org/styles/bioinformatics</vt:lpwstr>
  </property>
</Properties>
</file>